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网上挂牌出让公告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default" w:ascii="Times New Roman" w:hAnsi="Times New Roman" w:eastAsia="仿宋_GB2312" w:cs="Times New Roman"/>
          <w:b w:val="0"/>
          <w:bCs w:val="0"/>
          <w:color w:val="FF0000"/>
          <w:sz w:val="32"/>
          <w:szCs w:val="32"/>
          <w:highlight w:val="none"/>
        </w:rPr>
      </w:pPr>
      <w:r>
        <w:rPr>
          <w:rFonts w:hint="default" w:ascii="Times New Roman" w:hAnsi="Times New Roman" w:eastAsia="仿宋_GB2312" w:cs="Times New Roman"/>
          <w:b w:val="0"/>
          <w:bCs w:val="0"/>
          <w:color w:val="auto"/>
          <w:sz w:val="32"/>
          <w:szCs w:val="32"/>
          <w:highlight w:val="none"/>
        </w:rPr>
        <w:t>惠</w:t>
      </w:r>
      <w:r>
        <w:rPr>
          <w:rFonts w:hint="default" w:ascii="Times New Roman" w:hAnsi="Times New Roman" w:eastAsia="仿宋_GB2312" w:cs="Times New Roman"/>
          <w:b w:val="0"/>
          <w:bCs w:val="0"/>
          <w:color w:val="auto"/>
          <w:sz w:val="32"/>
          <w:szCs w:val="32"/>
          <w:highlight w:val="none"/>
          <w:lang w:val="en-US" w:eastAsia="zh-CN"/>
        </w:rPr>
        <w:t>仲土挂告</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008</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kinsoku/>
        <w:wordWrap/>
        <w:overflowPunct/>
        <w:topLinePunct w:val="0"/>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根据《招标拍卖挂牌出让国有建设用地使用权规定》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国土资源部令第39号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和《广东省土地使用权交易市场管理规定》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广东省人民政府令第79号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的规定，经批准，</w:t>
      </w:r>
      <w:r>
        <w:rPr>
          <w:rFonts w:hint="default" w:ascii="Times New Roman" w:hAnsi="Times New Roman" w:eastAsia="仿宋_GB2312" w:cs="Times New Roman"/>
          <w:b w:val="0"/>
          <w:bCs w:val="0"/>
          <w:color w:val="auto"/>
          <w:sz w:val="32"/>
          <w:szCs w:val="32"/>
          <w:highlight w:val="none"/>
          <w:lang w:eastAsia="zh-CN"/>
        </w:rPr>
        <w:t>我</w:t>
      </w:r>
      <w:r>
        <w:rPr>
          <w:rFonts w:hint="default" w:ascii="Times New Roman" w:hAnsi="Times New Roman" w:eastAsia="仿宋_GB2312" w:cs="Times New Roman"/>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rPr>
        <w:t>挂牌起始价及</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挂牌起始价为人民币</w:t>
      </w:r>
      <w:r>
        <w:rPr>
          <w:rFonts w:hint="default" w:ascii="Times New Roman" w:hAnsi="Times New Roman" w:eastAsia="仿宋_GB2312" w:cs="Times New Roman"/>
          <w:b w:val="0"/>
          <w:bCs w:val="0"/>
          <w:color w:val="auto"/>
          <w:sz w:val="32"/>
          <w:szCs w:val="32"/>
          <w:highlight w:val="none"/>
          <w:lang w:val="en-US" w:eastAsia="zh-CN"/>
        </w:rPr>
        <w:t>61595</w:t>
      </w:r>
      <w:r>
        <w:rPr>
          <w:rFonts w:hint="default" w:ascii="Times New Roman" w:hAnsi="Times New Roman" w:eastAsia="仿宋_GB2312" w:cs="Times New Roman"/>
          <w:b w:val="0"/>
          <w:bCs w:val="0"/>
          <w:color w:val="auto"/>
          <w:sz w:val="32"/>
          <w:szCs w:val="32"/>
          <w:highlight w:val="none"/>
        </w:rPr>
        <w:t>万元,每次报价</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价幅度为人民币</w:t>
      </w:r>
      <w:r>
        <w:rPr>
          <w:rFonts w:hint="default" w:ascii="Times New Roman" w:hAnsi="Times New Roman" w:eastAsia="仿宋_GB2312" w:cs="Times New Roman"/>
          <w:b w:val="0"/>
          <w:bCs w:val="0"/>
          <w:color w:val="auto"/>
          <w:sz w:val="32"/>
          <w:szCs w:val="32"/>
          <w:highlight w:val="none"/>
          <w:lang w:val="en-US" w:eastAsia="zh-CN"/>
        </w:rPr>
        <w:t>300</w:t>
      </w:r>
      <w:r>
        <w:rPr>
          <w:rFonts w:hint="default" w:ascii="Times New Roman" w:hAnsi="Times New Roman" w:eastAsia="仿宋_GB2312" w:cs="Times New Roman"/>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三、时间安排</w:t>
      </w:r>
    </w:p>
    <w:p>
      <w:pPr>
        <w:pStyle w:val="5"/>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（一）公告时间：</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rPr>
        <w:t>日至</w:t>
      </w:r>
      <w:r>
        <w:rPr>
          <w:rFonts w:hint="default" w:ascii="Times New Roman" w:hAnsi="Times New Roman" w:eastAsia="仿宋_GB2312" w:cs="Times New Roman"/>
          <w:b w:val="0"/>
          <w:bCs w:val="0"/>
          <w:color w:val="auto"/>
          <w:sz w:val="32"/>
          <w:szCs w:val="32"/>
          <w:highlight w:val="none"/>
          <w:lang w:val="en-US" w:eastAsia="zh-CN"/>
        </w:rPr>
        <w:t>2022年10月20日</w:t>
      </w:r>
      <w:r>
        <w:rPr>
          <w:rFonts w:hint="default" w:ascii="Times New Roman" w:hAnsi="Times New Roman" w:eastAsia="仿宋_GB2312" w:cs="Times New Roman"/>
          <w:b w:val="0"/>
          <w:bCs w:val="0"/>
          <w:color w:val="auto"/>
          <w:sz w:val="32"/>
          <w:szCs w:val="32"/>
          <w:highlight w:val="none"/>
          <w:lang w:eastAsia="zh-CN"/>
        </w:rPr>
        <w:t>。</w:t>
      </w:r>
    </w:p>
    <w:p>
      <w:pPr>
        <w:pStyle w:val="5"/>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（二）网上挂牌竞买时间：</w:t>
      </w:r>
      <w:r>
        <w:rPr>
          <w:rFonts w:hint="default" w:ascii="Times New Roman" w:hAnsi="Times New Roman" w:eastAsia="仿宋_GB2312" w:cs="Times New Roman"/>
          <w:b w:val="0"/>
          <w:bCs w:val="0"/>
          <w:color w:val="auto"/>
          <w:sz w:val="32"/>
          <w:szCs w:val="32"/>
          <w:highlight w:val="none"/>
          <w:lang w:val="en-US" w:eastAsia="zh-CN"/>
        </w:rPr>
        <w:t>2022年10月20日9</w:t>
      </w:r>
      <w:r>
        <w:rPr>
          <w:rFonts w:hint="default" w:ascii="Times New Roman" w:hAnsi="Times New Roman" w:eastAsia="仿宋_GB2312" w:cs="Times New Roman"/>
          <w:b w:val="0"/>
          <w:bCs w:val="0"/>
          <w:color w:val="auto"/>
          <w:sz w:val="32"/>
          <w:szCs w:val="32"/>
          <w:highlight w:val="none"/>
        </w:rPr>
        <w:t>时至 2022 年1</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竞买保证金到账截止时间为：</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年1</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日</w:t>
      </w: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四、竞买资格及要求</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（一）缴交竞买保证金</w:t>
      </w:r>
      <w:r>
        <w:rPr>
          <w:rFonts w:hint="default" w:ascii="Times New Roman" w:hAnsi="Times New Roman" w:eastAsia="仿宋_GB2312" w:cs="Times New Roman"/>
          <w:b w:val="0"/>
          <w:bCs w:val="0"/>
          <w:color w:val="auto"/>
          <w:sz w:val="32"/>
          <w:szCs w:val="32"/>
          <w:highlight w:val="none"/>
          <w:lang w:val="en-US" w:eastAsia="zh-CN"/>
        </w:rPr>
        <w:t>12319</w:t>
      </w:r>
      <w:r>
        <w:rPr>
          <w:rFonts w:hint="default" w:ascii="Times New Roman" w:hAnsi="Times New Roman" w:eastAsia="仿宋_GB2312" w:cs="Times New Roman"/>
          <w:b w:val="0"/>
          <w:bCs w:val="0"/>
          <w:color w:val="auto"/>
          <w:sz w:val="32"/>
          <w:szCs w:val="32"/>
          <w:highlight w:val="none"/>
          <w:lang w:eastAsia="zh-CN"/>
        </w:rPr>
        <w:t>万元人民币；</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lang w:val="en-US" w:eastAsia="zh-CN"/>
        </w:rPr>
        <w:t>存在拖欠地价款、闲置土地、囤地炒地等违法违规违约行为之一的企业及其控股股东不得参与竞买</w:t>
      </w:r>
      <w:r>
        <w:rPr>
          <w:rFonts w:hint="default" w:ascii="Times New Roman" w:hAnsi="Times New Roman" w:eastAsia="仿宋_GB2312" w:cs="Times New Roman"/>
          <w:b w:val="0"/>
          <w:bCs w:val="0"/>
          <w:color w:val="auto"/>
          <w:sz w:val="32"/>
          <w:szCs w:val="32"/>
          <w:highlight w:val="none"/>
          <w:lang w:eastAsia="zh-CN"/>
        </w:rPr>
        <w:t>；</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竞买申请人须具备房地产开发资质</w:t>
      </w:r>
      <w:r>
        <w:rPr>
          <w:rFonts w:hint="default" w:ascii="Times New Roman" w:hAnsi="Times New Roman" w:eastAsia="仿宋_GB2312" w:cs="Times New Roman"/>
          <w:b w:val="0"/>
          <w:bCs w:val="0"/>
          <w:color w:val="auto"/>
          <w:sz w:val="32"/>
          <w:szCs w:val="32"/>
          <w:highlight w:val="none"/>
          <w:lang w:eastAsia="zh-CN"/>
        </w:rPr>
        <w:t>（或者具备住建部门出具的房地产开发企业资质的核准意见）</w:t>
      </w:r>
      <w:r>
        <w:rPr>
          <w:rFonts w:hint="default" w:ascii="Times New Roman" w:hAnsi="Times New Roman" w:eastAsia="仿宋_GB2312" w:cs="Times New Roman"/>
          <w:b w:val="0"/>
          <w:bCs w:val="0"/>
          <w:color w:val="auto"/>
          <w:sz w:val="32"/>
          <w:szCs w:val="32"/>
          <w:highlight w:val="none"/>
          <w:lang w:val="en-US" w:eastAsia="zh-CN"/>
        </w:rPr>
        <w:t>，且同一企业及控股公司只允许一家企业参与竞买。</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五、需要说明的事项</w:t>
      </w:r>
    </w:p>
    <w:p>
      <w:pPr>
        <w:pStyle w:val="28"/>
        <w:keepNext w:val="0"/>
        <w:keepLines w:val="0"/>
        <w:pageBreakBefore w:val="0"/>
        <w:kinsoku/>
        <w:wordWrap/>
        <w:overflowPunct/>
        <w:topLinePunct w:val="0"/>
        <w:autoSpaceDE/>
        <w:autoSpaceDN/>
        <w:bidi w:val="0"/>
        <w:spacing w:line="560" w:lineRule="exact"/>
        <w:ind w:firstLine="640"/>
        <w:textAlignment w:val="auto"/>
        <w:outlineLvl w:val="9"/>
        <w:rPr>
          <w:rFonts w:hint="default" w:ascii="Times New Roman" w:hAnsi="Times New Roman"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一</w:t>
      </w:r>
      <w:r>
        <w:rPr>
          <w:rFonts w:hint="default" w:ascii="Times New Roman" w:hAnsi="Times New Roman" w:cs="Times New Roman"/>
          <w:highlight w:val="none"/>
          <w:lang w:eastAsia="zh-CN"/>
        </w:rPr>
        <w:t>）</w:t>
      </w:r>
      <w:r>
        <w:rPr>
          <w:rFonts w:hint="default" w:ascii="Times New Roman" w:hAnsi="Times New Roman" w:cs="Times New Roman"/>
          <w:highlight w:val="none"/>
        </w:rPr>
        <w:t>该宗地产权清晰、征地有关安置补偿已落实到位、不存在任何纠纷，地块周边基础设施已基本配套，具备动工建设所必需的条件</w:t>
      </w:r>
      <w:r>
        <w:rPr>
          <w:rFonts w:hint="default" w:ascii="Times New Roman" w:hAnsi="Times New Roman" w:cs="Times New Roman"/>
          <w:highlight w:val="none"/>
          <w:lang w:eastAsia="zh-CN"/>
        </w:rPr>
        <w:t>；</w:t>
      </w:r>
    </w:p>
    <w:p>
      <w:pPr>
        <w:pStyle w:val="31"/>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二</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宗地须符合片区风貌管控要求，与周边地块统一风貌设计；</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（三）地块竞价溢价达到总地价70834万元时，转为采用摇号方式确定竞得人；</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（四）该地块所建商品住房单套毛坯住房最高销售单价13290元/㎡；</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五）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2"/>
        <w:keepNext w:val="0"/>
        <w:keepLines w:val="0"/>
        <w:pageBreakBefore w:val="0"/>
        <w:widowControl/>
        <w:kinsoku/>
        <w:wordWrap/>
        <w:overflowPunct/>
        <w:topLinePunct w:val="0"/>
        <w:autoSpaceDE/>
        <w:autoSpaceDN/>
        <w:bidi w:val="0"/>
        <w:spacing w:line="560" w:lineRule="exact"/>
        <w:ind w:firstLine="640"/>
        <w:textAlignment w:val="auto"/>
        <w:outlineLvl w:val="9"/>
        <w:rPr>
          <w:rFonts w:hint="default" w:ascii="Times New Roman" w:hAnsi="Times New Roman" w:eastAsia="仿宋_GB2312" w:cs="Times New Roman"/>
          <w:bCs/>
          <w:szCs w:val="32"/>
          <w:highlight w:val="none"/>
          <w:lang w:val="en-US" w:eastAsia="zh-CN"/>
        </w:rPr>
      </w:pPr>
      <w:r>
        <w:rPr>
          <w:rFonts w:hint="default" w:ascii="Times New Roman" w:hAnsi="Times New Roman" w:eastAsia="仿宋_GB2312" w:cs="Times New Roman"/>
          <w:bCs/>
          <w:szCs w:val="32"/>
          <w:highlight w:val="none"/>
          <w:lang w:val="en-US" w:eastAsia="zh-CN"/>
        </w:rPr>
        <w:t>（六）</w:t>
      </w:r>
      <w:r>
        <w:rPr>
          <w:rFonts w:hint="default" w:ascii="Times New Roman" w:hAnsi="Times New Roman" w:eastAsia="仿宋_GB2312" w:cs="Times New Roman"/>
          <w:bCs/>
          <w:szCs w:val="32"/>
          <w:highlight w:val="none"/>
        </w:rPr>
        <w:t>本次土地出让金分两期支付，竞得人须于签订《出让合同》之日起30日内支付成交价款50%的土地出让金，</w:t>
      </w:r>
      <w:r>
        <w:rPr>
          <w:rFonts w:hint="default" w:ascii="Times New Roman" w:hAnsi="Times New Roman" w:eastAsia="仿宋_GB2312" w:cs="Times New Roman"/>
          <w:bCs/>
          <w:szCs w:val="32"/>
          <w:highlight w:val="none"/>
          <w:lang w:val="en-US" w:eastAsia="zh-CN"/>
        </w:rPr>
        <w:t>剩余</w:t>
      </w:r>
      <w:r>
        <w:rPr>
          <w:rFonts w:hint="default" w:ascii="Times New Roman" w:hAnsi="Times New Roman" w:eastAsia="仿宋_GB2312" w:cs="Times New Roman"/>
          <w:bCs/>
          <w:szCs w:val="32"/>
          <w:highlight w:val="none"/>
        </w:rPr>
        <w:t>土地出让金须于签订《出让合同》之日起</w:t>
      </w:r>
      <w:r>
        <w:rPr>
          <w:rFonts w:hint="default" w:ascii="Times New Roman" w:hAnsi="Times New Roman" w:eastAsia="仿宋_GB2312" w:cs="Times New Roman"/>
          <w:bCs/>
          <w:szCs w:val="32"/>
          <w:highlight w:val="none"/>
          <w:lang w:val="en-US" w:eastAsia="zh-CN"/>
        </w:rPr>
        <w:t>90日</w:t>
      </w:r>
      <w:r>
        <w:rPr>
          <w:rFonts w:hint="default" w:ascii="Times New Roman" w:hAnsi="Times New Roman" w:eastAsia="仿宋_GB2312" w:cs="Times New Roman"/>
          <w:bCs/>
          <w:szCs w:val="32"/>
          <w:highlight w:val="none"/>
        </w:rPr>
        <w:t>内全部缴清。</w:t>
      </w:r>
      <w:r>
        <w:rPr>
          <w:rFonts w:hint="default" w:ascii="Times New Roman" w:hAnsi="Times New Roman" w:eastAsia="仿宋_GB2312" w:cs="Times New Roman"/>
          <w:bCs/>
          <w:szCs w:val="32"/>
          <w:highlight w:val="none"/>
          <w:lang w:val="en-US" w:eastAsia="zh-CN"/>
        </w:rPr>
        <w:t>竞得人</w:t>
      </w:r>
      <w:r>
        <w:rPr>
          <w:rFonts w:hint="default" w:ascii="Times New Roman" w:hAnsi="Times New Roman" w:eastAsia="仿宋_GB2312" w:cs="Times New Roman"/>
          <w:bCs/>
          <w:szCs w:val="32"/>
          <w:highlight w:val="none"/>
        </w:rPr>
        <w:t>在支付第二期出让价款时，应当按照支付第一期土地出让价款当日中国人民银行公布的贷款利率向</w:t>
      </w:r>
      <w:r>
        <w:rPr>
          <w:rFonts w:hint="default" w:ascii="Times New Roman" w:hAnsi="Times New Roman" w:eastAsia="仿宋_GB2312" w:cs="Times New Roman"/>
          <w:bCs/>
          <w:szCs w:val="32"/>
          <w:highlight w:val="none"/>
          <w:lang w:val="en-US" w:eastAsia="zh-CN"/>
        </w:rPr>
        <w:t>出让方</w:t>
      </w:r>
      <w:r>
        <w:rPr>
          <w:rFonts w:hint="default" w:ascii="Times New Roman" w:hAnsi="Times New Roman" w:eastAsia="仿宋_GB2312" w:cs="Times New Roman"/>
          <w:bCs/>
          <w:szCs w:val="32"/>
          <w:highlight w:val="none"/>
        </w:rPr>
        <w:t>区国土资源分局支付</w:t>
      </w:r>
      <w:r>
        <w:rPr>
          <w:rFonts w:hint="default" w:ascii="Times New Roman" w:hAnsi="Times New Roman" w:eastAsia="仿宋_GB2312" w:cs="Times New Roman"/>
          <w:bCs/>
          <w:szCs w:val="32"/>
          <w:highlight w:val="none"/>
          <w:lang w:val="en-US" w:eastAsia="zh-CN"/>
        </w:rPr>
        <w:t>利息；</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（七）竞得人除缴交成交地价款外，还需按规定缴交契税等有关税费；</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（八）非仲恺高新区注册登记的企业竞得土地使用权的，必须在竞得土地后2个月内在仲恺高新区市场监督管理部门注册成立项目开发公司，并以该公司名义办理土地出让与登记发证手续；</w:t>
      </w:r>
    </w:p>
    <w:p>
      <w:pPr>
        <w:pStyle w:val="2"/>
        <w:keepNext w:val="0"/>
        <w:keepLines w:val="0"/>
        <w:pageBreakBefore w:val="0"/>
        <w:widowControl/>
        <w:kinsoku/>
        <w:wordWrap/>
        <w:overflowPunct/>
        <w:topLinePunct w:val="0"/>
        <w:bidi w:val="0"/>
        <w:spacing w:line="560" w:lineRule="exact"/>
        <w:ind w:firstLine="640"/>
        <w:textAlignment w:val="auto"/>
        <w:rPr>
          <w:rFonts w:hint="default" w:ascii="Times New Roman" w:hAnsi="Times New Roman" w:eastAsia="仿宋_GB2312" w:cs="Times New Roman"/>
          <w:bCs/>
          <w:szCs w:val="32"/>
          <w:highlight w:val="none"/>
          <w:lang w:eastAsia="zh-CN"/>
        </w:rPr>
      </w:pPr>
      <w:r>
        <w:rPr>
          <w:rFonts w:hint="default"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highlight w:val="none"/>
          <w:lang w:val="en-US" w:eastAsia="zh-CN"/>
        </w:rPr>
        <w:t>九</w:t>
      </w:r>
      <w:r>
        <w:rPr>
          <w:rFonts w:hint="default" w:ascii="Times New Roman" w:hAnsi="Times New Roman" w:eastAsia="仿宋_GB2312" w:cs="Times New Roman"/>
          <w:bCs/>
          <w:szCs w:val="32"/>
          <w:highlight w:val="none"/>
          <w:lang w:eastAsia="zh-CN"/>
        </w:rPr>
        <w:t>）为加快推进</w:t>
      </w:r>
      <w:r>
        <w:rPr>
          <w:rFonts w:hint="default" w:ascii="Times New Roman" w:hAnsi="Times New Roman" w:eastAsia="仿宋_GB2312" w:cs="Times New Roman"/>
          <w:bCs/>
          <w:szCs w:val="32"/>
          <w:highlight w:val="none"/>
          <w:lang w:val="en-US" w:eastAsia="zh-CN"/>
        </w:rPr>
        <w:t>幼儿园及托儿所建设，ZKC-047-03-01号、ZKC-047-03-02号</w:t>
      </w:r>
      <w:r>
        <w:rPr>
          <w:rFonts w:hint="default" w:ascii="Times New Roman" w:hAnsi="Times New Roman" w:eastAsia="仿宋_GB2312" w:cs="Times New Roman"/>
          <w:bCs/>
          <w:szCs w:val="32"/>
          <w:highlight w:val="none"/>
          <w:lang w:eastAsia="zh-CN"/>
        </w:rPr>
        <w:t>挂牌地块</w:t>
      </w:r>
      <w:r>
        <w:rPr>
          <w:rFonts w:hint="default" w:ascii="Times New Roman" w:hAnsi="Times New Roman" w:eastAsia="仿宋_GB2312" w:cs="Times New Roman"/>
          <w:bCs/>
          <w:szCs w:val="32"/>
          <w:highlight w:val="none"/>
          <w:lang w:val="en-US" w:eastAsia="zh-CN"/>
        </w:rPr>
        <w:t>竞得人须共同配建12班幼儿园、3班托儿所，建成后无偿移交给区宣教文卫办；由区宣教文卫办负责提供幼儿园及托儿所建设标准、审定建设方案，</w:t>
      </w:r>
      <w:r>
        <w:rPr>
          <w:rFonts w:hint="default" w:ascii="Times New Roman" w:hAnsi="Times New Roman" w:eastAsia="仿宋_GB2312" w:cs="Times New Roman"/>
          <w:bCs/>
          <w:szCs w:val="32"/>
          <w:highlight w:val="none"/>
          <w:lang w:eastAsia="zh-CN"/>
        </w:rPr>
        <w:t>并</w:t>
      </w:r>
      <w:r>
        <w:rPr>
          <w:rFonts w:hint="default" w:ascii="Times New Roman" w:hAnsi="Times New Roman" w:eastAsia="仿宋_GB2312" w:cs="Times New Roman"/>
          <w:bCs/>
          <w:szCs w:val="32"/>
          <w:highlight w:val="none"/>
          <w:lang w:val="en-US" w:eastAsia="zh-CN"/>
        </w:rPr>
        <w:t>与竞得人签订幼儿园配建及监管协议；</w:t>
      </w:r>
    </w:p>
    <w:p>
      <w:pPr>
        <w:pStyle w:val="2"/>
        <w:keepNext w:val="0"/>
        <w:keepLines w:val="0"/>
        <w:pageBreakBefore w:val="0"/>
        <w:widowControl/>
        <w:kinsoku/>
        <w:wordWrap/>
        <w:overflowPunct/>
        <w:topLinePunct w:val="0"/>
        <w:bidi w:val="0"/>
        <w:spacing w:line="560" w:lineRule="exact"/>
        <w:ind w:firstLine="640"/>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仿宋_GB2312" w:cs="Times New Roman"/>
          <w:bCs/>
          <w:szCs w:val="32"/>
          <w:highlight w:val="none"/>
          <w:lang w:val="en-US" w:eastAsia="zh-CN"/>
        </w:rPr>
        <w:t>（十）为推进住宅区养老服务设施建设，ZKC-047-03-01号、ZKC-047-03-02号</w:t>
      </w:r>
      <w:r>
        <w:rPr>
          <w:rFonts w:hint="default" w:ascii="Times New Roman" w:hAnsi="Times New Roman" w:eastAsia="仿宋_GB2312" w:cs="Times New Roman"/>
          <w:bCs/>
          <w:szCs w:val="32"/>
          <w:highlight w:val="none"/>
          <w:lang w:eastAsia="zh-CN"/>
        </w:rPr>
        <w:t>挂牌地块</w:t>
      </w:r>
      <w:r>
        <w:rPr>
          <w:rFonts w:hint="default" w:ascii="Times New Roman" w:hAnsi="Times New Roman" w:eastAsia="仿宋_GB2312" w:cs="Times New Roman"/>
          <w:bCs/>
          <w:szCs w:val="32"/>
          <w:highlight w:val="none"/>
          <w:lang w:val="en-US" w:eastAsia="zh-CN"/>
        </w:rPr>
        <w:t>竞得人须共同配建建筑面积不小于450㎡的老年人日间照料中心，建成后无偿移交给区社会事务局；由区社会事务局负责提供日间照料中心建设标准、审定建设方案，并与竞得人签订日间照料中心配建及监管协议。</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rPr>
        <w:t>竞买保证金</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一</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该宗地竞买保证金为人民币</w:t>
      </w:r>
      <w:r>
        <w:rPr>
          <w:rFonts w:hint="default" w:ascii="Times New Roman" w:hAnsi="Times New Roman" w:cs="Times New Roman"/>
          <w:b w:val="0"/>
          <w:bCs w:val="0"/>
          <w:color w:val="auto"/>
          <w:sz w:val="32"/>
          <w:szCs w:val="32"/>
          <w:highlight w:val="none"/>
          <w:lang w:val="en-US" w:eastAsia="zh-CN"/>
        </w:rPr>
        <w:t>12319</w:t>
      </w:r>
      <w:r>
        <w:rPr>
          <w:rFonts w:hint="default" w:ascii="Times New Roman" w:hAnsi="Times New Roman" w:eastAsia="仿宋_GB2312" w:cs="Times New Roman"/>
          <w:b w:val="0"/>
          <w:bCs w:val="0"/>
          <w:color w:val="auto"/>
          <w:sz w:val="32"/>
          <w:szCs w:val="32"/>
          <w:highlight w:val="none"/>
        </w:rPr>
        <w:t>万元</w:t>
      </w:r>
      <w:r>
        <w:rPr>
          <w:rFonts w:hint="eastAsia" w:ascii="Times New Roman" w:hAnsi="Times New Roman" w:cs="Times New Roman"/>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申请人应当在网上挂牌出让竞买保证金到账截止时间前登录惠州市公共资源交易中心土地与矿业网上挂牌交易系统（以下简称“网上挂牌交易系统”</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网址：</w:t>
      </w:r>
      <w:r>
        <w:rPr>
          <w:rFonts w:hint="default" w:ascii="Times New Roman" w:hAnsi="Times New Roman" w:eastAsia="仿宋_GB2312" w:cs="Times New Roman"/>
          <w:b w:val="0"/>
          <w:bCs w:val="0"/>
          <w:color w:val="auto"/>
          <w:sz w:val="32"/>
          <w:szCs w:val="32"/>
          <w:highlight w:val="none"/>
        </w:rPr>
        <w:t>https://www.hzgtjy.com/）获取竞买保证金支付账号</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七、</w:t>
      </w:r>
      <w:r>
        <w:rPr>
          <w:rFonts w:hint="default" w:ascii="Times New Roman" w:hAnsi="Times New Roman" w:eastAsia="仿宋_GB2312" w:cs="Times New Roman"/>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default" w:ascii="Times New Roman" w:hAnsi="Times New Roman" w:eastAsia="仿宋_GB2312" w:cs="Times New Roman"/>
          <w:b w:val="0"/>
          <w:bCs w:val="0"/>
          <w:color w:val="auto"/>
          <w:sz w:val="32"/>
          <w:szCs w:val="32"/>
          <w:highlight w:val="none"/>
          <w:lang w:val="en-US" w:eastAsia="zh-CN"/>
        </w:rPr>
        <w:t>符合竞买资格要求并</w:t>
      </w:r>
      <w:r>
        <w:rPr>
          <w:rFonts w:hint="default" w:ascii="Times New Roman" w:hAnsi="Times New Roman" w:eastAsia="仿宋_GB2312" w:cs="Times New Roman"/>
          <w:b w:val="0"/>
          <w:bCs w:val="0"/>
          <w:color w:val="auto"/>
          <w:sz w:val="32"/>
          <w:szCs w:val="32"/>
          <w:highlight w:val="none"/>
        </w:rPr>
        <w:t>办理数字证书、按要求足额交纳竞买保证金的申请人，方可参加网上挂牌交易活动。</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本宗国有建设用地使用权网上挂牌出让实行竞买资格后置审查。竞买申请人交纳足额竞买保证金即获得竞买报价权限。</w:t>
      </w:r>
    </w:p>
    <w:p>
      <w:pPr>
        <w:pStyle w:val="6"/>
        <w:keepNext w:val="0"/>
        <w:keepLines w:val="0"/>
        <w:pageBreakBefore w:val="0"/>
        <w:widowControl w:val="0"/>
        <w:kinsoku/>
        <w:wordWrap/>
        <w:overflowPunct/>
        <w:topLinePunct w:val="0"/>
        <w:autoSpaceDE/>
        <w:autoSpaceDN/>
        <w:bidi w:val="0"/>
        <w:spacing w:before="0" w:line="52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八、</w:t>
      </w:r>
      <w:r>
        <w:rPr>
          <w:rFonts w:hint="default" w:ascii="Times New Roman" w:hAnsi="Times New Roman" w:eastAsia="仿宋_GB2312" w:cs="Times New Roman"/>
          <w:b w:val="0"/>
          <w:bCs w:val="0"/>
          <w:color w:val="auto"/>
          <w:sz w:val="32"/>
          <w:szCs w:val="32"/>
          <w:highlight w:val="none"/>
        </w:rPr>
        <w:t>竞买人电子报价</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电子限时竞价</w:t>
      </w:r>
      <w:r>
        <w:rPr>
          <w:rFonts w:hint="default" w:ascii="Times New Roman" w:hAnsi="Times New Roman" w:cs="Times New Roman"/>
          <w:b w:val="0"/>
          <w:bCs w:val="0"/>
          <w:color w:val="auto"/>
          <w:sz w:val="32"/>
          <w:szCs w:val="32"/>
          <w:highlight w:val="none"/>
          <w:lang w:val="en-US" w:eastAsia="zh-CN"/>
        </w:rPr>
        <w:t>及摇号</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九、</w:t>
      </w:r>
      <w:r>
        <w:rPr>
          <w:rFonts w:hint="default" w:ascii="Times New Roman" w:hAnsi="Times New Roman" w:eastAsia="仿宋_GB2312" w:cs="Times New Roman"/>
          <w:b w:val="0"/>
          <w:bCs w:val="0"/>
          <w:color w:val="auto"/>
          <w:sz w:val="32"/>
          <w:szCs w:val="32"/>
          <w:highlight w:val="none"/>
        </w:rPr>
        <w:t>确定成交候选人</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w:t>
      </w:r>
      <w:r>
        <w:rPr>
          <w:rFonts w:hint="default" w:ascii="Times New Roman" w:hAnsi="Times New Roman" w:eastAsia="仿宋_GB2312" w:cs="Times New Roman"/>
          <w:b w:val="0"/>
          <w:bCs w:val="0"/>
          <w:color w:val="auto"/>
          <w:sz w:val="32"/>
          <w:szCs w:val="32"/>
          <w:highlight w:val="none"/>
          <w:lang w:eastAsia="zh-CN"/>
        </w:rPr>
        <w:t>宗</w:t>
      </w:r>
      <w:r>
        <w:rPr>
          <w:rFonts w:hint="default" w:ascii="Times New Roman" w:hAnsi="Times New Roman" w:eastAsia="仿宋_GB2312" w:cs="Times New Roman"/>
          <w:b w:val="0"/>
          <w:bCs w:val="0"/>
          <w:color w:val="auto"/>
          <w:sz w:val="32"/>
          <w:szCs w:val="32"/>
          <w:highlight w:val="none"/>
        </w:rPr>
        <w:t>国有建设用地使用权网上挂牌出让为无底价挂牌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w:t>
      </w:r>
      <w:r>
        <w:rPr>
          <w:rFonts w:hint="default" w:ascii="Times New Roman" w:hAnsi="Times New Roman" w:eastAsia="仿宋_GB2312" w:cs="Times New Roman"/>
          <w:b w:val="0"/>
          <w:bCs/>
          <w:sz w:val="32"/>
          <w:szCs w:val="32"/>
          <w:lang w:eastAsia="zh-CN"/>
        </w:rPr>
        <w:t>“限地价、摇号”</w:t>
      </w:r>
      <w:r>
        <w:rPr>
          <w:rFonts w:hint="default" w:ascii="Times New Roman" w:hAnsi="Times New Roman" w:eastAsia="仿宋_GB2312" w:cs="Times New Roman"/>
          <w:b w:val="0"/>
          <w:bCs w:val="0"/>
          <w:color w:val="auto"/>
          <w:sz w:val="32"/>
          <w:szCs w:val="32"/>
          <w:highlight w:val="none"/>
        </w:rPr>
        <w:t>方式出让并确定成交候选人。</w:t>
      </w:r>
    </w:p>
    <w:p>
      <w:pPr>
        <w:pStyle w:val="5"/>
        <w:keepNext w:val="0"/>
        <w:keepLines w:val="0"/>
        <w:pageBreakBefore w:val="0"/>
        <w:kinsoku/>
        <w:wordWrap/>
        <w:overflowPunct/>
        <w:topLinePunct w:val="0"/>
        <w:autoSpaceDE/>
        <w:autoSpaceDN/>
        <w:bidi w:val="0"/>
        <w:adjustRightInd/>
        <w:snapToGrid/>
        <w:spacing w:line="500" w:lineRule="exact"/>
        <w:ind w:firstLine="579" w:firstLineChars="181"/>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rPr>
        <w:t>资格审查</w:t>
      </w:r>
    </w:p>
    <w:p>
      <w:pPr>
        <w:pStyle w:val="5"/>
        <w:keepNext w:val="0"/>
        <w:keepLines w:val="0"/>
        <w:pageBreakBefore w:val="0"/>
        <w:kinsoku/>
        <w:wordWrap/>
        <w:overflowPunct/>
        <w:topLinePunct w:val="0"/>
        <w:autoSpaceDE/>
        <w:autoSpaceDN/>
        <w:bidi w:val="0"/>
        <w:adjustRightInd/>
        <w:snapToGrid/>
        <w:spacing w:line="500" w:lineRule="exact"/>
        <w:ind w:firstLine="579" w:firstLineChars="181"/>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成交候选人应在网上挂牌交易系统确定成交候选人之日起</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个工作日内将竞买申请纸质材料提交至我局，由我局对竞买资格进行审查。我局将</w:t>
      </w:r>
      <w:r>
        <w:rPr>
          <w:rFonts w:hint="default" w:ascii="Times New Roman" w:hAnsi="Times New Roman" w:eastAsia="仿宋_GB2312" w:cs="Times New Roman"/>
          <w:b w:val="0"/>
          <w:bCs w:val="0"/>
          <w:color w:val="auto"/>
          <w:sz w:val="32"/>
          <w:szCs w:val="32"/>
          <w:highlight w:val="none"/>
          <w:u w:val="none"/>
        </w:rPr>
        <w:t>于</w:t>
      </w:r>
      <w:r>
        <w:rPr>
          <w:rFonts w:hint="default" w:ascii="Times New Roman" w:hAnsi="Times New Roman" w:eastAsia="仿宋_GB2312" w:cs="Times New Roman"/>
          <w:b w:val="0"/>
          <w:bCs w:val="0"/>
          <w:color w:val="auto"/>
          <w:sz w:val="32"/>
          <w:szCs w:val="32"/>
          <w:highlight w:val="none"/>
          <w:u w:val="none"/>
          <w:lang w:val="en-US" w:eastAsia="zh-CN"/>
        </w:rPr>
        <w:t>2022</w:t>
      </w:r>
      <w:r>
        <w:rPr>
          <w:rFonts w:hint="default" w:ascii="Times New Roman" w:hAnsi="Times New Roman" w:eastAsia="仿宋_GB2312" w:cs="Times New Roman"/>
          <w:b w:val="0"/>
          <w:bCs w:val="0"/>
          <w:color w:val="auto"/>
          <w:sz w:val="32"/>
          <w:szCs w:val="32"/>
          <w:highlight w:val="none"/>
          <w:u w:val="none"/>
        </w:rPr>
        <w:t>年</w:t>
      </w:r>
      <w:r>
        <w:rPr>
          <w:rFonts w:hint="default" w:ascii="Times New Roman" w:hAnsi="Times New Roman" w:eastAsia="仿宋_GB2312" w:cs="Times New Roman"/>
          <w:b w:val="0"/>
          <w:bCs w:val="0"/>
          <w:color w:val="auto"/>
          <w:sz w:val="32"/>
          <w:szCs w:val="32"/>
          <w:highlight w:val="none"/>
          <w:u w:val="none"/>
          <w:lang w:val="en-US" w:eastAsia="zh-CN"/>
        </w:rPr>
        <w:t>11</w:t>
      </w:r>
      <w:r>
        <w:rPr>
          <w:rFonts w:hint="default" w:ascii="Times New Roman" w:hAnsi="Times New Roman" w:eastAsia="仿宋_GB2312" w:cs="Times New Roman"/>
          <w:b w:val="0"/>
          <w:bCs w:val="0"/>
          <w:color w:val="auto"/>
          <w:sz w:val="32"/>
          <w:szCs w:val="32"/>
          <w:highlight w:val="none"/>
          <w:u w:val="none"/>
        </w:rPr>
        <w:t>月</w:t>
      </w:r>
      <w:r>
        <w:rPr>
          <w:rFonts w:hint="default" w:ascii="Times New Roman" w:hAnsi="Times New Roman" w:eastAsia="仿宋_GB2312" w:cs="Times New Roman"/>
          <w:b w:val="0"/>
          <w:bCs w:val="0"/>
          <w:color w:val="auto"/>
          <w:sz w:val="32"/>
          <w:szCs w:val="32"/>
          <w:highlight w:val="none"/>
          <w:u w:val="none"/>
          <w:lang w:val="en-US" w:eastAsia="zh-CN"/>
        </w:rPr>
        <w:t>10</w:t>
      </w:r>
      <w:r>
        <w:rPr>
          <w:rFonts w:hint="default" w:ascii="Times New Roman" w:hAnsi="Times New Roman" w:eastAsia="仿宋_GB2312" w:cs="Times New Roman"/>
          <w:b w:val="0"/>
          <w:bCs w:val="0"/>
          <w:color w:val="auto"/>
          <w:sz w:val="32"/>
          <w:szCs w:val="32"/>
          <w:highlight w:val="none"/>
          <w:u w:val="none"/>
        </w:rPr>
        <w:t>日</w:t>
      </w:r>
      <w:r>
        <w:rPr>
          <w:rFonts w:hint="default" w:ascii="Times New Roman" w:hAnsi="Times New Roman" w:eastAsia="仿宋_GB2312" w:cs="Times New Roman"/>
          <w:b w:val="0"/>
          <w:bCs w:val="0"/>
          <w:color w:val="auto"/>
          <w:sz w:val="32"/>
          <w:szCs w:val="32"/>
          <w:highlight w:val="none"/>
        </w:rPr>
        <w:t xml:space="preserve">前确定符合竞买资格的成交候选人为竞得人。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成交候选人资格审查须提交下列材料：</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一</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《竞买申请书》（加盖公章）；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二</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《竞价结果通知书》（加盖公章）；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三</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《竞买保证金到账通知书》（加盖公章）；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四</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竞买保证金转账凭证复印件（加盖公章）；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五</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申请竞买人有效的《营业执照》复印件（加盖公章）；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六</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法定代表人身份证复印件（加盖公章）；</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七</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授权他人代理的授权委托书及代理人身份证复印件（核对原件）</w:t>
      </w:r>
      <w:r>
        <w:rPr>
          <w:rFonts w:hint="default" w:ascii="Times New Roman" w:hAnsi="Times New Roman" w:eastAsia="仿宋_GB2312" w:cs="Times New Roman"/>
          <w:b w:val="0"/>
          <w:bCs w:val="0"/>
          <w:color w:val="auto"/>
          <w:kern w:val="2"/>
          <w:sz w:val="32"/>
          <w:szCs w:val="32"/>
          <w:highlight w:val="none"/>
          <w:lang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（八）房地产开发资质材料;</w:t>
      </w:r>
    </w:p>
    <w:p>
      <w:pPr>
        <w:pStyle w:val="9"/>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（九）购地资金来源承诺书。</w:t>
      </w:r>
    </w:p>
    <w:p>
      <w:pPr>
        <w:keepNext w:val="0"/>
        <w:keepLines w:val="0"/>
        <w:pageBreakBefore w:val="0"/>
        <w:kinsoku/>
        <w:wordWrap/>
        <w:overflowPunct/>
        <w:topLinePunct w:val="0"/>
        <w:autoSpaceDE/>
        <w:autoSpaceDN/>
        <w:bidi w:val="0"/>
        <w:adjustRightInd/>
        <w:snapToGrid/>
        <w:spacing w:line="500" w:lineRule="exact"/>
        <w:ind w:firstLine="555"/>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十一、</w:t>
      </w:r>
      <w:r>
        <w:rPr>
          <w:rFonts w:hint="default" w:ascii="Times New Roman" w:hAnsi="Times New Roman" w:eastAsia="仿宋_GB2312" w:cs="Times New Roman"/>
          <w:b w:val="0"/>
          <w:bCs w:val="0"/>
          <w:color w:val="auto"/>
          <w:sz w:val="32"/>
          <w:szCs w:val="32"/>
          <w:highlight w:val="none"/>
        </w:rPr>
        <w:t>签订成交确认书</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出让合同</w:t>
      </w:r>
      <w:r>
        <w:rPr>
          <w:rFonts w:hint="default" w:ascii="Times New Roman" w:hAnsi="Times New Roman" w:eastAsia="仿宋_GB2312" w:cs="Times New Roman"/>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竞得人应在接到竞得人确定通知之日起</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rPr>
        <w:t>个工作日内</w:t>
      </w:r>
      <w:r>
        <w:rPr>
          <w:rFonts w:hint="default" w:ascii="Times New Roman" w:hAnsi="Times New Roman" w:eastAsia="仿宋_GB2312" w:cs="Times New Roman"/>
          <w:b w:val="0"/>
          <w:bCs w:val="0"/>
          <w:color w:val="auto"/>
          <w:sz w:val="32"/>
          <w:szCs w:val="32"/>
          <w:highlight w:val="none"/>
          <w:lang w:eastAsia="zh-CN"/>
        </w:rPr>
        <w:t>与我局、</w:t>
      </w:r>
      <w:r>
        <w:rPr>
          <w:rFonts w:hint="default" w:ascii="Times New Roman" w:hAnsi="Times New Roman" w:eastAsia="仿宋_GB2312" w:cs="Times New Roman"/>
          <w:b w:val="0"/>
          <w:bCs w:val="0"/>
          <w:color w:val="auto"/>
          <w:sz w:val="32"/>
          <w:szCs w:val="32"/>
          <w:highlight w:val="none"/>
          <w:lang w:val="en-US" w:eastAsia="zh-CN"/>
        </w:rPr>
        <w:t>惠州市公共资源交易中心仲恺分中心</w:t>
      </w:r>
      <w:r>
        <w:rPr>
          <w:rFonts w:hint="default" w:ascii="Times New Roman" w:hAnsi="Times New Roman" w:eastAsia="仿宋_GB2312" w:cs="Times New Roman"/>
          <w:b w:val="0"/>
          <w:bCs w:val="0"/>
          <w:color w:val="auto"/>
          <w:sz w:val="32"/>
          <w:szCs w:val="32"/>
          <w:highlight w:val="none"/>
        </w:rPr>
        <w:t>签订《成交确认书》，签订《成交确认书》之日起5个工作日内，须向</w:t>
      </w:r>
      <w:r>
        <w:rPr>
          <w:rFonts w:hint="default" w:ascii="Times New Roman" w:hAnsi="Times New Roman" w:eastAsia="仿宋_GB2312" w:cs="Times New Roman"/>
          <w:b w:val="0"/>
          <w:bCs w:val="0"/>
          <w:color w:val="auto"/>
          <w:sz w:val="32"/>
          <w:szCs w:val="32"/>
          <w:highlight w:val="none"/>
          <w:lang w:val="en-US" w:eastAsia="zh-CN"/>
        </w:rPr>
        <w:t>我</w:t>
      </w:r>
      <w:r>
        <w:rPr>
          <w:rFonts w:hint="default" w:ascii="Times New Roman" w:hAnsi="Times New Roman" w:eastAsia="仿宋_GB2312" w:cs="Times New Roman"/>
          <w:b w:val="0"/>
          <w:bCs w:val="0"/>
          <w:color w:val="auto"/>
          <w:sz w:val="32"/>
          <w:szCs w:val="32"/>
          <w:highlight w:val="none"/>
        </w:rPr>
        <w:t>局提交申请受让国有建设用地使用权的有关材料；签订《成交确认书》之日起10个工作日内，须与</w:t>
      </w:r>
      <w:r>
        <w:rPr>
          <w:rFonts w:hint="default" w:ascii="Times New Roman" w:hAnsi="Times New Roman" w:eastAsia="仿宋_GB2312" w:cs="Times New Roman"/>
          <w:b w:val="0"/>
          <w:bCs w:val="0"/>
          <w:color w:val="auto"/>
          <w:sz w:val="32"/>
          <w:szCs w:val="32"/>
          <w:highlight w:val="none"/>
          <w:lang w:val="en-US" w:eastAsia="zh-CN"/>
        </w:rPr>
        <w:t>我局</w:t>
      </w:r>
      <w:r>
        <w:rPr>
          <w:rFonts w:hint="default" w:ascii="Times New Roman" w:hAnsi="Times New Roman" w:eastAsia="仿宋_GB2312" w:cs="Times New Roman"/>
          <w:b w:val="0"/>
          <w:bCs w:val="0"/>
          <w:color w:val="auto"/>
          <w:sz w:val="32"/>
          <w:szCs w:val="32"/>
          <w:highlight w:val="none"/>
        </w:rPr>
        <w:t>签订《出让合同》。竞得人须于签订《出让合同》之日起30日内支付成交价款50%的土地出让金，剩余土地出让金须于签订《出让合同》之日起90日内全部缴清。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adjustRightInd/>
        <w:snapToGrid/>
        <w:spacing w:line="500" w:lineRule="exact"/>
        <w:ind w:firstLine="555"/>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十二、</w:t>
      </w:r>
      <w:r>
        <w:rPr>
          <w:rFonts w:hint="default" w:ascii="Times New Roman" w:hAnsi="Times New Roman" w:eastAsia="仿宋_GB2312" w:cs="Times New Roman"/>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无正当理由逾期或拒绝签订成交确认书的</w:t>
      </w:r>
      <w:r>
        <w:rPr>
          <w:rFonts w:hint="default" w:ascii="Times New Roman" w:hAnsi="Times New Roman" w:eastAsia="仿宋_GB2312" w:cs="Times New Roman"/>
          <w:b w:val="0"/>
          <w:bCs w:val="0"/>
          <w:color w:val="auto"/>
          <w:sz w:val="32"/>
          <w:szCs w:val="32"/>
          <w:highlight w:val="none"/>
          <w:lang w:eastAsia="zh-CN"/>
        </w:rPr>
        <w:t>。</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20" w:lineRule="exact"/>
        <w:ind w:firstLine="555"/>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5"/>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（二）有意竞买者可以自行到地块现场踏勘（可在网上挂牌交易系统查阅</w:t>
      </w:r>
      <w:r>
        <w:rPr>
          <w:rFonts w:hint="default" w:ascii="Times New Roman" w:hAnsi="Times New Roman" w:eastAsia="仿宋_GB2312" w:cs="Times New Roman"/>
          <w:b w:val="0"/>
          <w:bCs w:val="0"/>
          <w:color w:val="auto"/>
          <w:sz w:val="32"/>
          <w:szCs w:val="32"/>
          <w:highlight w:val="none"/>
          <w:lang w:val="en-US" w:eastAsia="zh-CN"/>
        </w:rPr>
        <w:t>用地红线图</w:t>
      </w:r>
      <w:r>
        <w:rPr>
          <w:rFonts w:hint="default" w:ascii="Times New Roman" w:hAnsi="Times New Roman" w:eastAsia="仿宋_GB2312" w:cs="Times New Roman"/>
          <w:b w:val="0"/>
          <w:bCs w:val="0"/>
          <w:color w:val="auto"/>
          <w:sz w:val="32"/>
          <w:szCs w:val="32"/>
          <w:highlight w:val="none"/>
        </w:rPr>
        <w:t>）。</w:t>
      </w:r>
    </w:p>
    <w:p>
      <w:pPr>
        <w:pStyle w:val="5"/>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5"/>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（四）地块动工竣工时间及地块交付时间</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（五）该宗地交易全程适用</w:t>
      </w:r>
      <w:r>
        <w:rPr>
          <w:rFonts w:hint="default" w:ascii="Times New Roman" w:hAnsi="Times New Roman" w:eastAsia="仿宋_GB2312" w:cs="Times New Roman"/>
          <w:b w:val="0"/>
          <w:bCs w:val="0"/>
          <w:color w:val="auto"/>
          <w:sz w:val="32"/>
          <w:szCs w:val="32"/>
          <w:highlight w:val="none"/>
        </w:rPr>
        <w:t>《惠州市政务服务数据管理局</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惠州市公共资源交易中心公共资源电子交易规则》</w:t>
      </w:r>
      <w:r>
        <w:rPr>
          <w:rFonts w:hint="default" w:ascii="Times New Roman" w:hAnsi="Times New Roman" w:eastAsia="仿宋_GB2312" w:cs="Times New Roman"/>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2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十五、</w:t>
      </w:r>
      <w:r>
        <w:rPr>
          <w:rFonts w:hint="default" w:ascii="Times New Roman" w:hAnsi="Times New Roman" w:eastAsia="仿宋_GB2312" w:cs="Times New Roman"/>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联系地址：广东省惠州市仲恺高新区和畅五路</w:t>
      </w:r>
      <w:r>
        <w:rPr>
          <w:rFonts w:hint="default" w:ascii="Times New Roman" w:hAnsi="Times New Roman" w:eastAsia="仿宋_GB2312" w:cs="Times New Roman"/>
          <w:b w:val="0"/>
          <w:bCs w:val="0"/>
          <w:color w:val="auto"/>
          <w:sz w:val="32"/>
          <w:szCs w:val="32"/>
          <w:highlight w:val="none"/>
          <w:lang w:val="en-US" w:eastAsia="zh-CN"/>
        </w:rPr>
        <w:t>人才</w:t>
      </w:r>
      <w:r>
        <w:rPr>
          <w:rFonts w:hint="default" w:ascii="Times New Roman" w:hAnsi="Times New Roman" w:eastAsia="仿宋_GB2312" w:cs="Times New Roman"/>
          <w:b w:val="0"/>
          <w:bCs w:val="0"/>
          <w:color w:val="auto"/>
          <w:sz w:val="32"/>
          <w:szCs w:val="32"/>
          <w:highlight w:val="none"/>
        </w:rPr>
        <w:t>服务大厦5楼</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rPr>
        <w:t>联系人：</w:t>
      </w:r>
      <w:r>
        <w:rPr>
          <w:rFonts w:hint="default" w:ascii="Times New Roman" w:hAnsi="Times New Roman" w:eastAsia="仿宋_GB2312" w:cs="Times New Roman"/>
          <w:b w:val="0"/>
          <w:bCs w:val="0"/>
          <w:color w:val="auto"/>
          <w:sz w:val="32"/>
          <w:szCs w:val="32"/>
          <w:highlight w:val="none"/>
          <w:lang w:val="en-US" w:eastAsia="zh-CN"/>
        </w:rPr>
        <w:t>张懿南</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sz w:val="32"/>
          <w:szCs w:val="32"/>
          <w:highlight w:val="none"/>
          <w:lang w:val="en-US" w:eastAsia="en-US"/>
        </w:rPr>
        <w:t>0752-32716</w:t>
      </w:r>
      <w:r>
        <w:rPr>
          <w:rFonts w:hint="default" w:ascii="Times New Roman" w:hAnsi="Times New Roman" w:eastAsia="仿宋_GB2312" w:cs="Times New Roman"/>
          <w:b w:val="0"/>
          <w:bCs w:val="0"/>
          <w:color w:val="auto"/>
          <w:sz w:val="32"/>
          <w:szCs w:val="32"/>
          <w:highlight w:val="none"/>
          <w:lang w:val="en-US" w:eastAsia="zh-CN"/>
        </w:rPr>
        <w:t>36</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交易机构：惠州市公共资源交易中心</w:t>
      </w:r>
      <w:r>
        <w:rPr>
          <w:rFonts w:hint="default" w:ascii="Times New Roman" w:hAnsi="Times New Roman" w:eastAsia="仿宋_GB2312" w:cs="Times New Roman"/>
          <w:b w:val="0"/>
          <w:bCs w:val="0"/>
          <w:color w:val="auto"/>
          <w:sz w:val="32"/>
          <w:szCs w:val="32"/>
          <w:highlight w:val="none"/>
          <w:lang w:eastAsia="zh-CN"/>
        </w:rPr>
        <w:t>仲恺</w:t>
      </w:r>
      <w:r>
        <w:rPr>
          <w:rFonts w:hint="default" w:ascii="Times New Roman" w:hAnsi="Times New Roman" w:eastAsia="仿宋_GB2312" w:cs="Times New Roman"/>
          <w:b w:val="0"/>
          <w:bCs w:val="0"/>
          <w:color w:val="auto"/>
          <w:sz w:val="32"/>
          <w:szCs w:val="32"/>
          <w:highlight w:val="none"/>
        </w:rPr>
        <w:t>分中心</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联系地址：</w:t>
      </w:r>
      <w:r>
        <w:rPr>
          <w:rFonts w:hint="default" w:ascii="Times New Roman" w:hAnsi="Times New Roman" w:eastAsia="仿宋_GB2312" w:cs="Times New Roman"/>
          <w:b w:val="0"/>
          <w:bCs w:val="0"/>
          <w:color w:val="auto"/>
          <w:kern w:val="0"/>
          <w:sz w:val="32"/>
          <w:szCs w:val="32"/>
          <w:highlight w:val="none"/>
        </w:rPr>
        <w:t>广东省惠州市仲恺高新区和畅五路人才服务</w:t>
      </w:r>
    </w:p>
    <w:p>
      <w:pPr>
        <w:pStyle w:val="24"/>
        <w:keepNext w:val="0"/>
        <w:keepLines w:val="0"/>
        <w:pageBreakBefore w:val="0"/>
        <w:widowControl w:val="0"/>
        <w:kinsoku/>
        <w:wordWrap/>
        <w:overflowPunct/>
        <w:topLinePunct w:val="0"/>
        <w:autoSpaceDE/>
        <w:autoSpaceDN/>
        <w:bidi w:val="0"/>
        <w:spacing w:line="520" w:lineRule="exact"/>
        <w:ind w:firstLine="2240" w:firstLineChars="700"/>
        <w:jc w:val="left"/>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大厦10楼</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联系人：</w:t>
      </w:r>
      <w:r>
        <w:rPr>
          <w:rFonts w:hint="default" w:ascii="Times New Roman" w:hAnsi="Times New Roman" w:eastAsia="仿宋_GB2312" w:cs="Times New Roman"/>
          <w:b w:val="0"/>
          <w:bCs w:val="0"/>
          <w:color w:val="auto"/>
          <w:kern w:val="0"/>
          <w:sz w:val="32"/>
          <w:szCs w:val="32"/>
          <w:highlight w:val="none"/>
        </w:rPr>
        <w:t>汪</w:t>
      </w:r>
      <w:r>
        <w:rPr>
          <w:rFonts w:hint="default" w:ascii="Times New Roman" w:hAnsi="Times New Roman" w:eastAsia="仿宋_GB2312" w:cs="Times New Roman"/>
          <w:b w:val="0"/>
          <w:bCs w:val="0"/>
          <w:color w:val="auto"/>
          <w:kern w:val="0"/>
          <w:sz w:val="32"/>
          <w:szCs w:val="32"/>
          <w:highlight w:val="none"/>
          <w:lang w:val="en-US" w:eastAsia="zh-CN"/>
        </w:rPr>
        <w:t>鑫</w:t>
      </w:r>
      <w:r>
        <w:rPr>
          <w:rFonts w:hint="default" w:ascii="Times New Roman" w:hAnsi="Times New Roman" w:eastAsia="仿宋_GB2312" w:cs="Times New Roman"/>
          <w:b w:val="0"/>
          <w:bCs w:val="0"/>
          <w:color w:val="auto"/>
          <w:kern w:val="0"/>
          <w:sz w:val="32"/>
          <w:szCs w:val="32"/>
          <w:highlight w:val="none"/>
        </w:rPr>
        <w:t xml:space="preserve"> </w:t>
      </w:r>
      <w:r>
        <w:rPr>
          <w:rFonts w:hint="default" w:ascii="Times New Roman" w:hAnsi="Times New Roman" w:eastAsia="仿宋_GB2312" w:cs="Times New Roman"/>
          <w:b w:val="0"/>
          <w:bCs w:val="0"/>
          <w:color w:val="auto"/>
          <w:kern w:val="0"/>
          <w:sz w:val="32"/>
          <w:szCs w:val="32"/>
          <w:highlight w:val="none"/>
          <w:lang w:val="en-US" w:eastAsia="zh-CN"/>
        </w:rPr>
        <w:t>欧阳海棠</w:t>
      </w:r>
    </w:p>
    <w:p>
      <w:pPr>
        <w:pStyle w:val="24"/>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kern w:val="0"/>
          <w:sz w:val="32"/>
          <w:szCs w:val="32"/>
          <w:highlight w:val="none"/>
        </w:rPr>
        <w:t>0752-3278419</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注：本公告同时在下列网站及场所发布</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中国土地市场网: http://www.landchina.com</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惠州市公共资源交易中心网：</w:t>
      </w:r>
      <w:r>
        <w:rPr>
          <w:rFonts w:hint="default" w:ascii="Times New Roman" w:hAnsi="Times New Roman" w:eastAsia="仿宋_GB2312" w:cs="Times New Roman"/>
          <w:b w:val="0"/>
          <w:bCs w:val="0"/>
          <w:color w:val="auto"/>
          <w:sz w:val="32"/>
          <w:szCs w:val="32"/>
          <w:highlight w:val="none"/>
        </w:rPr>
        <w:fldChar w:fldCharType="begin"/>
      </w:r>
      <w:r>
        <w:rPr>
          <w:rFonts w:hint="default" w:ascii="Times New Roman" w:hAnsi="Times New Roman" w:eastAsia="仿宋_GB2312" w:cs="Times New Roman"/>
          <w:b w:val="0"/>
          <w:bCs w:val="0"/>
          <w:color w:val="auto"/>
          <w:sz w:val="32"/>
          <w:szCs w:val="32"/>
          <w:highlight w:val="none"/>
        </w:rPr>
        <w:instrText xml:space="preserve"> HYPERLINK "http://zyjy.huizhou.gov.cn" </w:instrText>
      </w:r>
      <w:r>
        <w:rPr>
          <w:rFonts w:hint="default" w:ascii="Times New Roman" w:hAnsi="Times New Roman" w:eastAsia="仿宋_GB2312" w:cs="Times New Roman"/>
          <w:b w:val="0"/>
          <w:bCs w:val="0"/>
          <w:color w:val="auto"/>
          <w:sz w:val="32"/>
          <w:szCs w:val="32"/>
          <w:highlight w:val="none"/>
        </w:rPr>
        <w:fldChar w:fldCharType="separate"/>
      </w:r>
      <w:r>
        <w:rPr>
          <w:rFonts w:hint="default" w:ascii="Times New Roman" w:hAnsi="Times New Roman" w:eastAsia="仿宋_GB2312" w:cs="Times New Roman"/>
          <w:b w:val="0"/>
          <w:bCs w:val="0"/>
          <w:color w:val="auto"/>
          <w:sz w:val="32"/>
          <w:szCs w:val="32"/>
          <w:highlight w:val="none"/>
        </w:rPr>
        <w:t>http://zyjy.huizhou.gov.cn</w:t>
      </w:r>
      <w:r>
        <w:rPr>
          <w:rFonts w:hint="default" w:ascii="Times New Roman" w:hAnsi="Times New Roman" w:eastAsia="仿宋_GB2312" w:cs="Times New Roman"/>
          <w:b w:val="0"/>
          <w:bCs w:val="0"/>
          <w:color w:val="auto"/>
          <w:sz w:val="32"/>
          <w:szCs w:val="32"/>
          <w:highlight w:val="none"/>
        </w:rPr>
        <w:fldChar w:fldCharType="end"/>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网站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fldChar w:fldCharType="begin"/>
      </w:r>
      <w:r>
        <w:rPr>
          <w:rFonts w:hint="default" w:ascii="Times New Roman" w:hAnsi="Times New Roman" w:eastAsia="仿宋_GB2312" w:cs="Times New Roman"/>
          <w:b w:val="0"/>
          <w:bCs w:val="0"/>
          <w:color w:val="auto"/>
          <w:sz w:val="32"/>
          <w:szCs w:val="32"/>
          <w:highlight w:val="none"/>
          <w:lang w:eastAsia="zh-CN"/>
        </w:rPr>
        <w:instrText xml:space="preserve"> HYPERLINK "http://www.hzzk.gov.cn/gwhbm/hzsggzyjyzxzzfzx/index.html" </w:instrText>
      </w:r>
      <w:r>
        <w:rPr>
          <w:rFonts w:hint="default" w:ascii="Times New Roman" w:hAnsi="Times New Roman" w:eastAsia="仿宋_GB2312" w:cs="Times New Roman"/>
          <w:b w:val="0"/>
          <w:bCs w:val="0"/>
          <w:color w:val="auto"/>
          <w:sz w:val="32"/>
          <w:szCs w:val="32"/>
          <w:highlight w:val="none"/>
          <w:lang w:eastAsia="zh-CN"/>
        </w:rPr>
        <w:fldChar w:fldCharType="separate"/>
      </w:r>
      <w:r>
        <w:rPr>
          <w:rStyle w:val="16"/>
          <w:rFonts w:hint="default" w:ascii="Times New Roman" w:hAnsi="Times New Roman" w:eastAsia="仿宋_GB2312" w:cs="Times New Roman"/>
          <w:b w:val="0"/>
          <w:bCs w:val="0"/>
          <w:color w:val="auto"/>
          <w:sz w:val="32"/>
          <w:szCs w:val="32"/>
          <w:highlight w:val="none"/>
          <w:lang w:eastAsia="zh-CN"/>
        </w:rPr>
        <w:t>http://www.hzzk.gov.cn/gwhbm/hzsggzyjyzxzzfzx/index.html</w:t>
      </w:r>
      <w:r>
        <w:rPr>
          <w:rFonts w:hint="default" w:ascii="Times New Roman" w:hAnsi="Times New Roman" w:eastAsia="仿宋_GB2312" w:cs="Times New Roman"/>
          <w:b w:val="0"/>
          <w:bCs w:val="0"/>
          <w:color w:val="auto"/>
          <w:sz w:val="32"/>
          <w:szCs w:val="32"/>
          <w:highlight w:val="none"/>
          <w:lang w:eastAsia="zh-CN"/>
        </w:rPr>
        <w:fldChar w:fldCharType="end"/>
      </w:r>
    </w:p>
    <w:p>
      <w:pPr>
        <w:pStyle w:val="2"/>
        <w:rPr>
          <w:rFonts w:hint="default" w:ascii="Times New Roman" w:hAnsi="Times New Roman" w:cs="Times New Roman"/>
          <w:lang w:val="en-US" w:eastAsia="zh-CN"/>
        </w:rPr>
      </w:pPr>
      <w:r>
        <w:rPr>
          <w:rFonts w:hint="default" w:ascii="Times New Roman" w:hAnsi="Times New Roman" w:eastAsia="仿宋_GB2312" w:cs="Times New Roman"/>
          <w:lang w:val="en-US" w:eastAsia="zh-CN"/>
        </w:rPr>
        <w:t>惠州市仲恺高新区国土资源分局网站：</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HYPERLINK "http://www.hzzk.gov.cn/gwhbm/zzgxqgtzyfj/"</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http://www.hzzk.gov.cn/gwhbm/zzgxqgtzyfj/</w:t>
      </w:r>
      <w:r>
        <w:rPr>
          <w:rFonts w:hint="default" w:ascii="Times New Roman" w:hAnsi="Times New Roman" w:eastAsia="仿宋_GB2312" w:cs="Times New Roman"/>
          <w:lang w:val="en-US" w:eastAsia="zh-CN"/>
        </w:rPr>
        <w:fldChar w:fldCharType="end"/>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联系电话：0752-7121029</w:t>
      </w:r>
    </w:p>
    <w:p>
      <w:pPr>
        <w:pStyle w:val="5"/>
        <w:keepNext w:val="0"/>
        <w:keepLines w:val="0"/>
        <w:pageBreakBefore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jc w:val="right"/>
        <w:textAlignment w:val="auto"/>
        <w:rPr>
          <w:rFonts w:hint="default" w:ascii="Times New Roman" w:hAnsi="Times New Roman" w:eastAsia="仿宋_GB2312" w:cs="Times New Roman"/>
          <w:b w:val="0"/>
          <w:bCs w:val="0"/>
          <w:color w:val="auto"/>
          <w:sz w:val="32"/>
          <w:szCs w:val="32"/>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val="0"/>
          <w:bCs w:val="0"/>
          <w:color w:val="auto"/>
          <w:sz w:val="32"/>
          <w:szCs w:val="32"/>
          <w:highlight w:val="none"/>
          <w:lang w:val="en-US" w:eastAsia="zh-CN"/>
        </w:rPr>
        <w:t xml:space="preserve">                 惠州市仲恺高新区国土资源分局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u w:val="none"/>
          <w:lang w:val="en-US" w:eastAsia="zh-CN"/>
        </w:rPr>
        <w:t xml:space="preserve"> 日</w:t>
      </w:r>
    </w:p>
    <w:p>
      <w:pPr>
        <w:pStyle w:val="32"/>
        <w:keepNext w:val="0"/>
        <w:keepLines w:val="0"/>
        <w:widowControl w:val="0"/>
        <w:shd w:val="clear" w:color="auto" w:fill="auto"/>
        <w:bidi w:val="0"/>
        <w:spacing w:before="0" w:after="260" w:line="240" w:lineRule="auto"/>
        <w:ind w:left="0" w:leftChars="0" w:right="0" w:firstLine="0" w:firstLineChars="0"/>
        <w:jc w:val="left"/>
        <w:rPr>
          <w:rFonts w:hint="default" w:ascii="Times New Roman" w:hAnsi="Times New Roman" w:cs="Times New Roman"/>
        </w:rPr>
      </w:pPr>
      <w:r>
        <w:rPr>
          <w:rFonts w:hint="default" w:ascii="Times New Roman" w:hAnsi="Times New Roman" w:cs="Times New Roman"/>
          <w:color w:val="000000"/>
          <w:spacing w:val="0"/>
          <w:w w:val="100"/>
          <w:position w:val="0"/>
        </w:rPr>
        <w:t>附表:</w:t>
      </w:r>
    </w:p>
    <w:p>
      <w:pPr>
        <w:pStyle w:val="33"/>
        <w:keepNext w:val="0"/>
        <w:keepLines w:val="0"/>
        <w:widowControl w:val="0"/>
        <w:shd w:val="clear" w:color="auto" w:fill="auto"/>
        <w:bidi w:val="0"/>
        <w:spacing w:before="0" w:after="0" w:line="240" w:lineRule="auto"/>
        <w:ind w:right="0"/>
        <w:jc w:val="center"/>
        <w:rPr>
          <w:rFonts w:hint="default" w:ascii="Times New Roman" w:hAnsi="Times New Roman" w:eastAsia="方正小标宋_GBK" w:cs="Times New Roman"/>
          <w:color w:val="000000"/>
          <w:spacing w:val="0"/>
          <w:w w:val="100"/>
          <w:position w:val="0"/>
          <w:sz w:val="44"/>
          <w:szCs w:val="44"/>
        </w:rPr>
      </w:pPr>
      <w:r>
        <w:rPr>
          <w:rFonts w:hint="default" w:ascii="Times New Roman" w:hAnsi="Times New Roman" w:eastAsia="方正小标宋_GBK" w:cs="Times New Roman"/>
          <w:color w:val="000000"/>
          <w:spacing w:val="0"/>
          <w:w w:val="100"/>
          <w:position w:val="0"/>
          <w:sz w:val="44"/>
          <w:szCs w:val="44"/>
        </w:rPr>
        <w:t>网上挂牌出让地块基本情况及规划建设指标</w:t>
      </w:r>
    </w:p>
    <w:p>
      <w:pPr>
        <w:pStyle w:val="33"/>
        <w:keepNext w:val="0"/>
        <w:keepLines w:val="0"/>
        <w:widowControl w:val="0"/>
        <w:shd w:val="clear" w:color="auto" w:fill="auto"/>
        <w:bidi w:val="0"/>
        <w:spacing w:before="0" w:after="0" w:line="240" w:lineRule="auto"/>
        <w:ind w:right="0"/>
        <w:jc w:val="center"/>
        <w:rPr>
          <w:rFonts w:hint="default" w:ascii="Times New Roman" w:hAnsi="Times New Roman" w:cs="Times New Roman"/>
          <w:color w:val="000000"/>
          <w:spacing w:val="0"/>
          <w:w w:val="100"/>
          <w:position w:val="0"/>
        </w:rPr>
      </w:pPr>
    </w:p>
    <w:tbl>
      <w:tblPr>
        <w:tblStyle w:val="10"/>
        <w:tblW w:w="15612" w:type="dxa"/>
        <w:jc w:val="center"/>
        <w:tblLayout w:type="fixed"/>
        <w:tblCellMar>
          <w:top w:w="0" w:type="dxa"/>
          <w:left w:w="10" w:type="dxa"/>
          <w:bottom w:w="0" w:type="dxa"/>
          <w:right w:w="10" w:type="dxa"/>
        </w:tblCellMar>
      </w:tblPr>
      <w:tblGrid>
        <w:gridCol w:w="642"/>
        <w:gridCol w:w="630"/>
        <w:gridCol w:w="1140"/>
        <w:gridCol w:w="516"/>
        <w:gridCol w:w="1116"/>
        <w:gridCol w:w="936"/>
        <w:gridCol w:w="708"/>
        <w:gridCol w:w="852"/>
        <w:gridCol w:w="1740"/>
        <w:gridCol w:w="678"/>
        <w:gridCol w:w="1685"/>
        <w:gridCol w:w="647"/>
        <w:gridCol w:w="698"/>
        <w:gridCol w:w="864"/>
        <w:gridCol w:w="840"/>
        <w:gridCol w:w="1056"/>
        <w:gridCol w:w="864"/>
      </w:tblGrid>
      <w:tr>
        <w:trPr>
          <w:trHeight w:val="432" w:hRule="exact"/>
          <w:jc w:val="center"/>
        </w:trPr>
        <w:tc>
          <w:tcPr>
            <w:tcW w:w="642"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挂牌地块编号</w:t>
            </w:r>
          </w:p>
        </w:tc>
        <w:tc>
          <w:tcPr>
            <w:tcW w:w="630"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土地位置</w:t>
            </w:r>
          </w:p>
        </w:tc>
        <w:tc>
          <w:tcPr>
            <w:tcW w:w="1140"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用地编</w:t>
            </w:r>
            <w:r>
              <w:rPr>
                <w:rFonts w:hint="default" w:ascii="Times New Roman" w:hAnsi="Times New Roman" w:eastAsia="宋体" w:cs="Times New Roman"/>
                <w:color w:val="000000"/>
                <w:spacing w:val="0"/>
                <w:w w:val="100"/>
                <w:position w:val="0"/>
                <w:sz w:val="22"/>
                <w:szCs w:val="22"/>
                <w:lang w:val="en-US" w:eastAsia="zh-CN"/>
              </w:rPr>
              <w:t>号</w:t>
            </w:r>
          </w:p>
        </w:tc>
        <w:tc>
          <w:tcPr>
            <w:tcW w:w="516" w:type="dxa"/>
            <w:vMerge w:val="restart"/>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en-US" w:eastAsia="zh-CN"/>
              </w:rPr>
              <w:t>土</w:t>
            </w:r>
            <w:r>
              <w:rPr>
                <w:rFonts w:hint="default" w:ascii="Times New Roman" w:hAnsi="Times New Roman" w:eastAsia="宋体" w:cs="Times New Roman"/>
                <w:color w:val="000000"/>
                <w:spacing w:val="0"/>
                <w:w w:val="100"/>
                <w:position w:val="0"/>
                <w:sz w:val="22"/>
                <w:szCs w:val="22"/>
              </w:rPr>
              <w:t>地用途</w:t>
            </w:r>
          </w:p>
        </w:tc>
        <w:tc>
          <w:tcPr>
            <w:tcW w:w="8362" w:type="dxa"/>
            <w:gridSpan w:val="8"/>
            <w:tcBorders>
              <w:top w:val="single" w:color="auto" w:sz="4" w:space="0"/>
              <w:left w:val="single" w:color="auto" w:sz="4" w:space="0"/>
            </w:tcBorders>
            <w:shd w:val="clear" w:color="auto" w:fill="FFFFFF"/>
            <w:vAlign w:val="bottom"/>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出让</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年限</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挂牌</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加价</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幅度</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竞买</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642" w:type="dxa"/>
            <w:vMerge w:val="continue"/>
            <w:tcBorders>
              <w:left w:val="single" w:color="auto" w:sz="4" w:space="0"/>
            </w:tcBorders>
            <w:shd w:val="clear" w:color="auto" w:fill="FFFFFF"/>
            <w:vAlign w:val="center"/>
          </w:tcPr>
          <w:p>
            <w:pPr>
              <w:jc w:val="center"/>
              <w:rPr>
                <w:rFonts w:hint="default" w:ascii="Times New Roman" w:hAnsi="Times New Roman" w:cs="Times New Roman"/>
              </w:rPr>
            </w:pPr>
          </w:p>
        </w:tc>
        <w:tc>
          <w:tcPr>
            <w:tcW w:w="630" w:type="dxa"/>
            <w:vMerge w:val="continue"/>
            <w:tcBorders>
              <w:left w:val="single" w:color="auto" w:sz="4" w:space="0"/>
            </w:tcBorders>
            <w:shd w:val="clear" w:color="auto" w:fill="FFFFFF"/>
            <w:vAlign w:val="center"/>
          </w:tcPr>
          <w:p>
            <w:pPr>
              <w:jc w:val="center"/>
              <w:rPr>
                <w:rFonts w:hint="default" w:ascii="Times New Roman" w:hAnsi="Times New Roman" w:cs="Times New Roman"/>
              </w:rPr>
            </w:pPr>
          </w:p>
        </w:tc>
        <w:tc>
          <w:tcPr>
            <w:tcW w:w="1140" w:type="dxa"/>
            <w:vMerge w:val="continue"/>
            <w:tcBorders>
              <w:left w:val="single" w:color="auto" w:sz="4" w:space="0"/>
            </w:tcBorders>
            <w:shd w:val="clear" w:color="auto" w:fill="FFFFFF"/>
            <w:vAlign w:val="center"/>
          </w:tcPr>
          <w:p>
            <w:pPr>
              <w:jc w:val="center"/>
              <w:rPr>
                <w:rFonts w:hint="default" w:ascii="Times New Roman" w:hAnsi="Times New Roman" w:cs="Times New Roman"/>
              </w:rPr>
            </w:pPr>
          </w:p>
        </w:tc>
        <w:tc>
          <w:tcPr>
            <w:tcW w:w="516" w:type="dxa"/>
            <w:vMerge w:val="continue"/>
            <w:tcBorders>
              <w:left w:val="single" w:color="auto" w:sz="4" w:space="0"/>
            </w:tcBorders>
            <w:shd w:val="clear" w:color="auto" w:fill="FFFFFF"/>
            <w:vAlign w:val="center"/>
          </w:tcPr>
          <w:p>
            <w:pPr>
              <w:jc w:val="center"/>
              <w:rPr>
                <w:rFonts w:hint="default" w:ascii="Times New Roman" w:hAnsi="Times New Roman" w:cs="Times New Roman"/>
              </w:rPr>
            </w:pPr>
          </w:p>
        </w:tc>
        <w:tc>
          <w:tcPr>
            <w:tcW w:w="1116"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计算指标用地面积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宗地使用权面积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建</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筑</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密</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度</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rPr>
            </w:pPr>
            <w:r>
              <w:rPr>
                <w:rFonts w:hint="default" w:ascii="Times New Roman" w:hAnsi="Times New Roman" w:eastAsia="宋体" w:cs="Times New Roman"/>
                <w:color w:val="000000"/>
                <w:spacing w:val="0"/>
                <w:w w:val="100"/>
                <w:position w:val="0"/>
                <w:sz w:val="22"/>
                <w:szCs w:val="22"/>
                <w:lang w:val="en-US" w:eastAsia="zh-CN"/>
              </w:rPr>
              <w:t>（%）</w:t>
            </w:r>
          </w:p>
        </w:tc>
        <w:tc>
          <w:tcPr>
            <w:tcW w:w="852"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容</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积</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率</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R</w:t>
            </w:r>
          </w:p>
        </w:tc>
        <w:tc>
          <w:tcPr>
            <w:tcW w:w="1740"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计容积率建筑面积</w:t>
            </w:r>
            <w:r>
              <w:rPr>
                <w:rFonts w:hint="default" w:ascii="Times New Roman" w:hAnsi="Times New Roman" w:eastAsia="宋体" w:cs="Times New Roman"/>
                <w:color w:val="000000"/>
                <w:spacing w:val="0"/>
                <w:w w:val="100"/>
                <w:position w:val="0"/>
                <w:sz w:val="22"/>
                <w:szCs w:val="22"/>
                <w:lang w:val="en-US" w:eastAsia="zh-CN"/>
              </w:rPr>
              <w:t>S</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678" w:type="dxa"/>
            <w:tcBorders>
              <w:top w:val="single" w:color="auto" w:sz="4" w:space="0"/>
              <w:left w:val="single" w:color="auto" w:sz="4" w:space="0"/>
            </w:tcBorders>
            <w:shd w:val="clear" w:color="auto" w:fill="FFFFFF"/>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绿地率</w:t>
            </w:r>
            <w:r>
              <w:rPr>
                <w:rFonts w:hint="default" w:ascii="Times New Roman" w:hAnsi="Times New Roman" w:eastAsia="宋体" w:cs="Times New Roman"/>
                <w:color w:val="000000"/>
                <w:spacing w:val="0"/>
                <w:w w:val="100"/>
                <w:position w:val="0"/>
                <w:sz w:val="22"/>
                <w:szCs w:val="22"/>
                <w:lang w:val="en-US" w:eastAsia="zh-CN"/>
              </w:rPr>
              <w:t>（%）</w:t>
            </w:r>
          </w:p>
        </w:tc>
        <w:tc>
          <w:tcPr>
            <w:tcW w:w="1685"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zh-TW" w:eastAsia="zh-TW"/>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zh-TW" w:eastAsia="zh-TW"/>
              </w:rPr>
              <w:t>机动车停车位配建要求</w:t>
            </w:r>
          </w:p>
        </w:tc>
        <w:tc>
          <w:tcPr>
            <w:tcW w:w="647" w:type="dxa"/>
            <w:tcBorders>
              <w:top w:val="single" w:color="auto" w:sz="4" w:space="0"/>
              <w:left w:val="single" w:color="auto" w:sz="4" w:space="0"/>
            </w:tcBorders>
            <w:shd w:val="clear" w:color="auto" w:fill="FFFFFF"/>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其他</w:t>
            </w:r>
          </w:p>
        </w:tc>
        <w:tc>
          <w:tcPr>
            <w:tcW w:w="698" w:type="dxa"/>
            <w:vMerge w:val="continue"/>
            <w:tcBorders>
              <w:left w:val="single" w:color="auto" w:sz="4" w:space="0"/>
              <w:right w:val="single" w:color="auto" w:sz="4" w:space="0"/>
            </w:tcBorders>
            <w:shd w:val="clear" w:color="auto" w:fill="FFFFFF"/>
            <w:textDirection w:val="tbRlV"/>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ascii="Times New Roman" w:hAnsi="Times New Roman" w:eastAsia="宋体" w:cs="Times New Roman"/>
                <w:lang w:val="en-US" w:eastAsia="zh-CN"/>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40"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1056"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5"/>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r>
      <w:tr>
        <w:tblPrEx>
          <w:tblCellMar>
            <w:top w:w="0" w:type="dxa"/>
            <w:left w:w="10" w:type="dxa"/>
            <w:bottom w:w="0" w:type="dxa"/>
            <w:right w:w="10" w:type="dxa"/>
          </w:tblCellMar>
        </w:tblPrEx>
        <w:trPr>
          <w:trHeight w:val="3510" w:hRule="exact"/>
          <w:jc w:val="center"/>
        </w:trPr>
        <w:tc>
          <w:tcPr>
            <w:tcW w:w="64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惠仲土挂告[2022]</w:t>
            </w:r>
            <w:r>
              <w:rPr>
                <w:rFonts w:hint="default" w:ascii="Times New Roman" w:hAnsi="Times New Roman" w:cs="Times New Roman"/>
                <w:sz w:val="20"/>
                <w:szCs w:val="20"/>
                <w:lang w:val="en-US" w:eastAsia="zh-CN"/>
              </w:rPr>
              <w:t xml:space="preserve">   008</w:t>
            </w:r>
            <w:r>
              <w:rPr>
                <w:rFonts w:hint="default" w:ascii="Times New Roman" w:hAnsi="Times New Roman" w:eastAsia="Times New Roman" w:cs="Times New Roman"/>
                <w:sz w:val="20"/>
                <w:szCs w:val="20"/>
                <w:lang w:val="en-US" w:eastAsia="zh-CN"/>
              </w:rPr>
              <w:t>号</w:t>
            </w:r>
          </w:p>
          <w:p>
            <w:pPr>
              <w:widowControl w:val="0"/>
              <w:jc w:val="center"/>
              <w:rPr>
                <w:rFonts w:hint="default" w:ascii="Times New Roman" w:hAnsi="Times New Roman" w:cs="Times New Roman"/>
                <w:sz w:val="10"/>
                <w:szCs w:val="10"/>
              </w:rPr>
            </w:pPr>
          </w:p>
        </w:tc>
        <w:tc>
          <w:tcPr>
            <w:tcW w:w="6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仲恺高新区潼侨镇</w:t>
            </w:r>
          </w:p>
        </w:tc>
        <w:tc>
          <w:tcPr>
            <w:tcW w:w="114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ZKC-047-03</w:t>
            </w:r>
          </w:p>
        </w:tc>
        <w:tc>
          <w:tcPr>
            <w:tcW w:w="5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住宅及商服用地</w:t>
            </w:r>
          </w:p>
        </w:tc>
        <w:tc>
          <w:tcPr>
            <w:tcW w:w="11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57162</w:t>
            </w:r>
          </w:p>
        </w:tc>
        <w:tc>
          <w:tcPr>
            <w:tcW w:w="93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51549</w:t>
            </w:r>
          </w:p>
        </w:tc>
        <w:tc>
          <w:tcPr>
            <w:tcW w:w="70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≤30</w:t>
            </w:r>
          </w:p>
        </w:tc>
        <w:tc>
          <w:tcPr>
            <w:tcW w:w="85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R≤3.1</w:t>
            </w:r>
          </w:p>
        </w:tc>
        <w:tc>
          <w:tcPr>
            <w:tcW w:w="174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S≤17720</w:t>
            </w:r>
            <w:r>
              <w:rPr>
                <w:rFonts w:hint="eastAsia" w:eastAsia="Times New Roman" w:cs="Times New Roman"/>
                <w:sz w:val="20"/>
                <w:szCs w:val="20"/>
                <w:lang w:val="en-US" w:eastAsia="zh-CN"/>
              </w:rPr>
              <w:t>2</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（其中商业建筑面积≤17720</w:t>
            </w:r>
            <w:r>
              <w:rPr>
                <w:rFonts w:hint="eastAsia" w:eastAsia="Times New Roman" w:cs="Times New Roman"/>
                <w:sz w:val="20"/>
                <w:szCs w:val="20"/>
                <w:lang w:val="en-US" w:eastAsia="zh-CN"/>
              </w:rPr>
              <w:t>㎡</w:t>
            </w:r>
            <w:r>
              <w:rPr>
                <w:rFonts w:hint="default" w:ascii="Times New Roman" w:hAnsi="Times New Roman" w:eastAsia="Times New Roman" w:cs="Times New Roman"/>
                <w:sz w:val="20"/>
                <w:szCs w:val="20"/>
                <w:lang w:val="en-US" w:eastAsia="zh-CN"/>
              </w:rPr>
              <w:t>）</w:t>
            </w:r>
          </w:p>
        </w:tc>
        <w:tc>
          <w:tcPr>
            <w:tcW w:w="67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≥30</w:t>
            </w:r>
          </w:p>
        </w:tc>
        <w:tc>
          <w:tcPr>
            <w:tcW w:w="168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商住部分每100平方米计容积率建筑面积≥1个，幼儿园每100平方米计容积率建筑面积≥0.3个，地面停车数占总停车数的比例≤10%，配建停车位应按要求建设充电基础设施或预留建设安装条件</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tc>
        <w:tc>
          <w:tcPr>
            <w:tcW w:w="64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住宅</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70年</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商服</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eastAsia="Times New Roman" w:cs="Times New Roman"/>
                <w:sz w:val="20"/>
                <w:szCs w:val="20"/>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61595</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300</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12319</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2022年11月3日9时</w:t>
            </w:r>
          </w:p>
        </w:tc>
      </w:tr>
    </w:tbl>
    <w:p>
      <w:pPr>
        <w:pStyle w:val="4"/>
        <w:rPr>
          <w:rFonts w:hint="default" w:ascii="Times New Roman" w:hAnsi="Times New Roman" w:cs="Times New Roma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1216660</wp:posOffset>
              </wp:positionH>
              <wp:positionV relativeFrom="page">
                <wp:posOffset>10060305</wp:posOffset>
              </wp:positionV>
              <wp:extent cx="42037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20370" cy="82550"/>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4" o:spid="_x0000_s1026" o:spt="202" type="#_x0000_t202" style="position:absolute;left:0pt;margin-left:95.8pt;margin-top:792.15pt;height:6.5pt;width:33.1pt;mso-position-horizontal-relative:page;mso-position-vertical-relative:page;mso-wrap-style:none;z-index:-251656192;mso-width-relative:page;mso-height-relative:page;" filled="f" stroked="f" coordsize="21600,21600" o:gfxdata="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cBtytkAAAANAQAADwAAAAAAAAABACAAAAAiAAAAZHJzL2Rv&#10;d25yZXYueG1sUEsBAhQAFAAAAAgAh07iQElhv8yOAQAAIgMAAA4AAAAAAAAAAQAgAAAAKAEAAGRy&#10;cy9lMm9Eb2MueG1sUEsFBgAAAAAGAAYAWQEAACg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BmMzNiYjBlYTI5MDA3YTcxNzUzODBiMjYzNjM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D3A41"/>
    <w:rsid w:val="009F2092"/>
    <w:rsid w:val="009F209E"/>
    <w:rsid w:val="00A01903"/>
    <w:rsid w:val="00A26F37"/>
    <w:rsid w:val="00A62B04"/>
    <w:rsid w:val="00A703FF"/>
    <w:rsid w:val="00AB4CB1"/>
    <w:rsid w:val="00AB5656"/>
    <w:rsid w:val="00AE30A8"/>
    <w:rsid w:val="00B4275A"/>
    <w:rsid w:val="00B91373"/>
    <w:rsid w:val="00C31E7B"/>
    <w:rsid w:val="00D304ED"/>
    <w:rsid w:val="00D75C64"/>
    <w:rsid w:val="00E01788"/>
    <w:rsid w:val="00E070AA"/>
    <w:rsid w:val="00E47A66"/>
    <w:rsid w:val="00E80445"/>
    <w:rsid w:val="00EC35A5"/>
    <w:rsid w:val="010E6025"/>
    <w:rsid w:val="012F32FC"/>
    <w:rsid w:val="01587D16"/>
    <w:rsid w:val="01A04759"/>
    <w:rsid w:val="01A836F9"/>
    <w:rsid w:val="023E1725"/>
    <w:rsid w:val="02421D02"/>
    <w:rsid w:val="02D944DD"/>
    <w:rsid w:val="032B1553"/>
    <w:rsid w:val="038C1DF1"/>
    <w:rsid w:val="039F6E44"/>
    <w:rsid w:val="048A0C4C"/>
    <w:rsid w:val="04AA17FE"/>
    <w:rsid w:val="051D4088"/>
    <w:rsid w:val="05F54D6D"/>
    <w:rsid w:val="06247E21"/>
    <w:rsid w:val="067362EB"/>
    <w:rsid w:val="068117B6"/>
    <w:rsid w:val="06B56267"/>
    <w:rsid w:val="06C26A7A"/>
    <w:rsid w:val="075570AE"/>
    <w:rsid w:val="07E4525D"/>
    <w:rsid w:val="08D60EA5"/>
    <w:rsid w:val="09402008"/>
    <w:rsid w:val="09B315DE"/>
    <w:rsid w:val="09B547AB"/>
    <w:rsid w:val="09EE122C"/>
    <w:rsid w:val="0A1E2AE2"/>
    <w:rsid w:val="0AAA4E9F"/>
    <w:rsid w:val="0AE876EE"/>
    <w:rsid w:val="0B3C33E2"/>
    <w:rsid w:val="0B782843"/>
    <w:rsid w:val="0C7472F1"/>
    <w:rsid w:val="0CAD1C6D"/>
    <w:rsid w:val="0CE4226E"/>
    <w:rsid w:val="0DAE7B73"/>
    <w:rsid w:val="0DD737A7"/>
    <w:rsid w:val="0DFD55A7"/>
    <w:rsid w:val="0E156E70"/>
    <w:rsid w:val="0E1D2DC4"/>
    <w:rsid w:val="0E2071F3"/>
    <w:rsid w:val="0E2C2AB5"/>
    <w:rsid w:val="0E4D7DC4"/>
    <w:rsid w:val="0E552A43"/>
    <w:rsid w:val="0E691595"/>
    <w:rsid w:val="0E761E24"/>
    <w:rsid w:val="0E970C12"/>
    <w:rsid w:val="0EC548DF"/>
    <w:rsid w:val="101713C8"/>
    <w:rsid w:val="102713DB"/>
    <w:rsid w:val="10687CF5"/>
    <w:rsid w:val="10796E30"/>
    <w:rsid w:val="10871E8E"/>
    <w:rsid w:val="10B86C1D"/>
    <w:rsid w:val="10D917CA"/>
    <w:rsid w:val="11031B8B"/>
    <w:rsid w:val="110903F6"/>
    <w:rsid w:val="11456B59"/>
    <w:rsid w:val="11871C18"/>
    <w:rsid w:val="11A71763"/>
    <w:rsid w:val="11AE5AAA"/>
    <w:rsid w:val="122430A9"/>
    <w:rsid w:val="12582EBE"/>
    <w:rsid w:val="12957422"/>
    <w:rsid w:val="12BB2171"/>
    <w:rsid w:val="12C92A41"/>
    <w:rsid w:val="12FD7D69"/>
    <w:rsid w:val="13055F11"/>
    <w:rsid w:val="13D04CD7"/>
    <w:rsid w:val="13DC2CB8"/>
    <w:rsid w:val="14221D35"/>
    <w:rsid w:val="142B1DB1"/>
    <w:rsid w:val="15173084"/>
    <w:rsid w:val="1582435D"/>
    <w:rsid w:val="15C97374"/>
    <w:rsid w:val="16451891"/>
    <w:rsid w:val="16586BE9"/>
    <w:rsid w:val="166F2BF1"/>
    <w:rsid w:val="171E6442"/>
    <w:rsid w:val="1742267B"/>
    <w:rsid w:val="1765414D"/>
    <w:rsid w:val="17874DAF"/>
    <w:rsid w:val="1794192C"/>
    <w:rsid w:val="17A4202A"/>
    <w:rsid w:val="17EA1735"/>
    <w:rsid w:val="17EC7944"/>
    <w:rsid w:val="17FC1602"/>
    <w:rsid w:val="181B75A7"/>
    <w:rsid w:val="18613BC1"/>
    <w:rsid w:val="186E24D6"/>
    <w:rsid w:val="187E669C"/>
    <w:rsid w:val="18C92B9F"/>
    <w:rsid w:val="18D217BE"/>
    <w:rsid w:val="18F7132C"/>
    <w:rsid w:val="19267A1B"/>
    <w:rsid w:val="198C55A6"/>
    <w:rsid w:val="19CD3D1D"/>
    <w:rsid w:val="1A1838ED"/>
    <w:rsid w:val="1A31098E"/>
    <w:rsid w:val="1A511BE3"/>
    <w:rsid w:val="1A9A558C"/>
    <w:rsid w:val="1AFA71C6"/>
    <w:rsid w:val="1B143084"/>
    <w:rsid w:val="1B1E785A"/>
    <w:rsid w:val="1B261919"/>
    <w:rsid w:val="1B2A00D1"/>
    <w:rsid w:val="1B7347F4"/>
    <w:rsid w:val="1B7A4B82"/>
    <w:rsid w:val="1BB23779"/>
    <w:rsid w:val="1BE73F47"/>
    <w:rsid w:val="1C024584"/>
    <w:rsid w:val="1C8F4B89"/>
    <w:rsid w:val="1C9A1178"/>
    <w:rsid w:val="1D064DF7"/>
    <w:rsid w:val="1D097D20"/>
    <w:rsid w:val="1D4D39AE"/>
    <w:rsid w:val="1D5C4003"/>
    <w:rsid w:val="1D6F464E"/>
    <w:rsid w:val="1D9E5A0C"/>
    <w:rsid w:val="1D9F5CDA"/>
    <w:rsid w:val="1E095370"/>
    <w:rsid w:val="1E904230"/>
    <w:rsid w:val="1EA56328"/>
    <w:rsid w:val="1FB504FE"/>
    <w:rsid w:val="1FE77AEB"/>
    <w:rsid w:val="1FFA383F"/>
    <w:rsid w:val="20081950"/>
    <w:rsid w:val="20671C22"/>
    <w:rsid w:val="207F541D"/>
    <w:rsid w:val="20851B07"/>
    <w:rsid w:val="20990B2A"/>
    <w:rsid w:val="20AB6596"/>
    <w:rsid w:val="20FB3E37"/>
    <w:rsid w:val="21264E5A"/>
    <w:rsid w:val="224E20DB"/>
    <w:rsid w:val="22845047"/>
    <w:rsid w:val="22937891"/>
    <w:rsid w:val="229D5685"/>
    <w:rsid w:val="22D05BCD"/>
    <w:rsid w:val="23532358"/>
    <w:rsid w:val="23703D7C"/>
    <w:rsid w:val="237161ED"/>
    <w:rsid w:val="23B47AA8"/>
    <w:rsid w:val="23E448D4"/>
    <w:rsid w:val="24610AB5"/>
    <w:rsid w:val="24A80447"/>
    <w:rsid w:val="24C5659C"/>
    <w:rsid w:val="250733D2"/>
    <w:rsid w:val="250E39D7"/>
    <w:rsid w:val="268412E8"/>
    <w:rsid w:val="26D81FCD"/>
    <w:rsid w:val="27452191"/>
    <w:rsid w:val="27BC0E8D"/>
    <w:rsid w:val="285B64DE"/>
    <w:rsid w:val="288E613F"/>
    <w:rsid w:val="288F3A27"/>
    <w:rsid w:val="28951D46"/>
    <w:rsid w:val="29721939"/>
    <w:rsid w:val="29B407A4"/>
    <w:rsid w:val="29E1316E"/>
    <w:rsid w:val="29F80FE7"/>
    <w:rsid w:val="2A492717"/>
    <w:rsid w:val="2A8D1AA1"/>
    <w:rsid w:val="2AC93E57"/>
    <w:rsid w:val="2AE47609"/>
    <w:rsid w:val="2AF5118B"/>
    <w:rsid w:val="2B786E5A"/>
    <w:rsid w:val="2BBE7984"/>
    <w:rsid w:val="2BE7051D"/>
    <w:rsid w:val="2C3B3035"/>
    <w:rsid w:val="2C4B24F8"/>
    <w:rsid w:val="2C8452BD"/>
    <w:rsid w:val="2C882001"/>
    <w:rsid w:val="2CB00876"/>
    <w:rsid w:val="2CD35376"/>
    <w:rsid w:val="2D4168DD"/>
    <w:rsid w:val="2D930E3D"/>
    <w:rsid w:val="2E134FFF"/>
    <w:rsid w:val="2EAC2783"/>
    <w:rsid w:val="2EDA6C9B"/>
    <w:rsid w:val="2F220213"/>
    <w:rsid w:val="2F442A87"/>
    <w:rsid w:val="2F6C6D41"/>
    <w:rsid w:val="2FE853E7"/>
    <w:rsid w:val="2FF53957"/>
    <w:rsid w:val="2FF85F65"/>
    <w:rsid w:val="303845C1"/>
    <w:rsid w:val="306E2102"/>
    <w:rsid w:val="30731155"/>
    <w:rsid w:val="30F82569"/>
    <w:rsid w:val="31575D41"/>
    <w:rsid w:val="31885CBB"/>
    <w:rsid w:val="318C005A"/>
    <w:rsid w:val="31B372D4"/>
    <w:rsid w:val="31D86DCF"/>
    <w:rsid w:val="31EB11BF"/>
    <w:rsid w:val="32083D0C"/>
    <w:rsid w:val="32150B1E"/>
    <w:rsid w:val="32465EC0"/>
    <w:rsid w:val="32C90259"/>
    <w:rsid w:val="33317857"/>
    <w:rsid w:val="334277A5"/>
    <w:rsid w:val="337563F9"/>
    <w:rsid w:val="34013B56"/>
    <w:rsid w:val="342019D5"/>
    <w:rsid w:val="346C251E"/>
    <w:rsid w:val="34AB1BAC"/>
    <w:rsid w:val="358D16EC"/>
    <w:rsid w:val="35A767A8"/>
    <w:rsid w:val="35CC1B7F"/>
    <w:rsid w:val="36237854"/>
    <w:rsid w:val="36487787"/>
    <w:rsid w:val="36B32239"/>
    <w:rsid w:val="36B610CD"/>
    <w:rsid w:val="373F3F75"/>
    <w:rsid w:val="375546CA"/>
    <w:rsid w:val="37721A4B"/>
    <w:rsid w:val="37723635"/>
    <w:rsid w:val="380F19DC"/>
    <w:rsid w:val="383718CB"/>
    <w:rsid w:val="386A7C63"/>
    <w:rsid w:val="388A6997"/>
    <w:rsid w:val="38AF57A2"/>
    <w:rsid w:val="38CA6196"/>
    <w:rsid w:val="38DC1ADB"/>
    <w:rsid w:val="38F15DFA"/>
    <w:rsid w:val="38FC729A"/>
    <w:rsid w:val="39320FFB"/>
    <w:rsid w:val="39463E38"/>
    <w:rsid w:val="39E9024F"/>
    <w:rsid w:val="39FA4D33"/>
    <w:rsid w:val="3A3711CB"/>
    <w:rsid w:val="3A5C1D13"/>
    <w:rsid w:val="3A5C1E5A"/>
    <w:rsid w:val="3A9B67B2"/>
    <w:rsid w:val="3AD66858"/>
    <w:rsid w:val="3B221787"/>
    <w:rsid w:val="3B34068A"/>
    <w:rsid w:val="3B9610F4"/>
    <w:rsid w:val="3BB71C2D"/>
    <w:rsid w:val="3BD61A36"/>
    <w:rsid w:val="3BF67651"/>
    <w:rsid w:val="3C0318E0"/>
    <w:rsid w:val="3C7D1AA0"/>
    <w:rsid w:val="3CFF4A4C"/>
    <w:rsid w:val="3D152C6B"/>
    <w:rsid w:val="3DB611C5"/>
    <w:rsid w:val="3E38578C"/>
    <w:rsid w:val="3E741032"/>
    <w:rsid w:val="3E7B06C6"/>
    <w:rsid w:val="3E7F648D"/>
    <w:rsid w:val="3E844C32"/>
    <w:rsid w:val="3EBE4111"/>
    <w:rsid w:val="3EC318D5"/>
    <w:rsid w:val="3F142B57"/>
    <w:rsid w:val="3F1A7FAA"/>
    <w:rsid w:val="3F3E0AB4"/>
    <w:rsid w:val="3F984213"/>
    <w:rsid w:val="3FA952A0"/>
    <w:rsid w:val="3FC93E3E"/>
    <w:rsid w:val="3FCC330C"/>
    <w:rsid w:val="402B776A"/>
    <w:rsid w:val="406B30D4"/>
    <w:rsid w:val="40A30DAA"/>
    <w:rsid w:val="40F46A11"/>
    <w:rsid w:val="41572450"/>
    <w:rsid w:val="41777BB2"/>
    <w:rsid w:val="4186034B"/>
    <w:rsid w:val="418F6974"/>
    <w:rsid w:val="42712E83"/>
    <w:rsid w:val="428E2D29"/>
    <w:rsid w:val="429C7B55"/>
    <w:rsid w:val="43342476"/>
    <w:rsid w:val="433E3A34"/>
    <w:rsid w:val="43621D5E"/>
    <w:rsid w:val="43D3409E"/>
    <w:rsid w:val="43D91C59"/>
    <w:rsid w:val="445617D3"/>
    <w:rsid w:val="447957F2"/>
    <w:rsid w:val="44A86E9A"/>
    <w:rsid w:val="45176E5E"/>
    <w:rsid w:val="45644397"/>
    <w:rsid w:val="45696BDB"/>
    <w:rsid w:val="465B0945"/>
    <w:rsid w:val="46B00671"/>
    <w:rsid w:val="46C925E7"/>
    <w:rsid w:val="46CF30CF"/>
    <w:rsid w:val="46F3537A"/>
    <w:rsid w:val="46FF2A91"/>
    <w:rsid w:val="47112BE0"/>
    <w:rsid w:val="47512873"/>
    <w:rsid w:val="47C2216E"/>
    <w:rsid w:val="480F1ECA"/>
    <w:rsid w:val="48526CD7"/>
    <w:rsid w:val="485F7432"/>
    <w:rsid w:val="486B4F45"/>
    <w:rsid w:val="48841BE5"/>
    <w:rsid w:val="488A3AE1"/>
    <w:rsid w:val="48AA6498"/>
    <w:rsid w:val="48AD19E8"/>
    <w:rsid w:val="48BA7DF9"/>
    <w:rsid w:val="48E51899"/>
    <w:rsid w:val="49956A4F"/>
    <w:rsid w:val="4A4812FE"/>
    <w:rsid w:val="4A730934"/>
    <w:rsid w:val="4B1977A0"/>
    <w:rsid w:val="4B4F18E5"/>
    <w:rsid w:val="4B8E2BB5"/>
    <w:rsid w:val="4BCA492F"/>
    <w:rsid w:val="4BDA7851"/>
    <w:rsid w:val="4BDD0C15"/>
    <w:rsid w:val="4C112A28"/>
    <w:rsid w:val="4C367EE2"/>
    <w:rsid w:val="4C3E0A00"/>
    <w:rsid w:val="4C8F2B04"/>
    <w:rsid w:val="4C9C397D"/>
    <w:rsid w:val="4CA65793"/>
    <w:rsid w:val="4D441C8B"/>
    <w:rsid w:val="4D446E15"/>
    <w:rsid w:val="4D8A139E"/>
    <w:rsid w:val="4DFB59B1"/>
    <w:rsid w:val="4E106724"/>
    <w:rsid w:val="4E5B22DE"/>
    <w:rsid w:val="4E660826"/>
    <w:rsid w:val="4E7D4D31"/>
    <w:rsid w:val="4E843E20"/>
    <w:rsid w:val="4EB0159A"/>
    <w:rsid w:val="4F021AA9"/>
    <w:rsid w:val="4F0A5043"/>
    <w:rsid w:val="4F42590E"/>
    <w:rsid w:val="4F884425"/>
    <w:rsid w:val="4F94106E"/>
    <w:rsid w:val="4FB870F0"/>
    <w:rsid w:val="4FE00A82"/>
    <w:rsid w:val="5025101F"/>
    <w:rsid w:val="508C5CA4"/>
    <w:rsid w:val="511901B3"/>
    <w:rsid w:val="52146C75"/>
    <w:rsid w:val="523577B2"/>
    <w:rsid w:val="52400BAA"/>
    <w:rsid w:val="52504441"/>
    <w:rsid w:val="52E1705F"/>
    <w:rsid w:val="52EC3EDC"/>
    <w:rsid w:val="52FE0D61"/>
    <w:rsid w:val="53151498"/>
    <w:rsid w:val="5316652D"/>
    <w:rsid w:val="53B134B9"/>
    <w:rsid w:val="53BD4A78"/>
    <w:rsid w:val="53D85335"/>
    <w:rsid w:val="53E125BE"/>
    <w:rsid w:val="541235D8"/>
    <w:rsid w:val="54CA1AED"/>
    <w:rsid w:val="55146BE0"/>
    <w:rsid w:val="55252947"/>
    <w:rsid w:val="5544476F"/>
    <w:rsid w:val="555E1E30"/>
    <w:rsid w:val="557767C5"/>
    <w:rsid w:val="55A354FC"/>
    <w:rsid w:val="55BA0F7E"/>
    <w:rsid w:val="563411DE"/>
    <w:rsid w:val="573D0259"/>
    <w:rsid w:val="57874BC1"/>
    <w:rsid w:val="578A33CF"/>
    <w:rsid w:val="57FA6FE9"/>
    <w:rsid w:val="5807448D"/>
    <w:rsid w:val="581255D7"/>
    <w:rsid w:val="582012C9"/>
    <w:rsid w:val="582C6E15"/>
    <w:rsid w:val="587648D0"/>
    <w:rsid w:val="58A50EA8"/>
    <w:rsid w:val="58D008AE"/>
    <w:rsid w:val="58D278EC"/>
    <w:rsid w:val="58EA62B6"/>
    <w:rsid w:val="596F60AE"/>
    <w:rsid w:val="59B92E76"/>
    <w:rsid w:val="5A03106A"/>
    <w:rsid w:val="5A4F141A"/>
    <w:rsid w:val="5A9E0341"/>
    <w:rsid w:val="5B2F1EEB"/>
    <w:rsid w:val="5B302BC9"/>
    <w:rsid w:val="5B745643"/>
    <w:rsid w:val="5C263CAD"/>
    <w:rsid w:val="5C4B2E5B"/>
    <w:rsid w:val="5C8578BA"/>
    <w:rsid w:val="5D027E7E"/>
    <w:rsid w:val="5D2B48B4"/>
    <w:rsid w:val="5D844F05"/>
    <w:rsid w:val="5E70388B"/>
    <w:rsid w:val="5EC178AD"/>
    <w:rsid w:val="5ED83037"/>
    <w:rsid w:val="5F070F9B"/>
    <w:rsid w:val="5F220DF6"/>
    <w:rsid w:val="5F300F59"/>
    <w:rsid w:val="5F356E47"/>
    <w:rsid w:val="5FAE3AB2"/>
    <w:rsid w:val="5FCF5D35"/>
    <w:rsid w:val="60B91507"/>
    <w:rsid w:val="60D33ED8"/>
    <w:rsid w:val="616B0C9C"/>
    <w:rsid w:val="621356A8"/>
    <w:rsid w:val="62215171"/>
    <w:rsid w:val="624B097D"/>
    <w:rsid w:val="62844F25"/>
    <w:rsid w:val="62C06BAA"/>
    <w:rsid w:val="63D6165B"/>
    <w:rsid w:val="64031DD3"/>
    <w:rsid w:val="64084C3D"/>
    <w:rsid w:val="645475E2"/>
    <w:rsid w:val="6455010A"/>
    <w:rsid w:val="64C957CC"/>
    <w:rsid w:val="64E91D1B"/>
    <w:rsid w:val="65A83CC5"/>
    <w:rsid w:val="65CC5CF4"/>
    <w:rsid w:val="65E92BE6"/>
    <w:rsid w:val="669354B5"/>
    <w:rsid w:val="66B037DC"/>
    <w:rsid w:val="671125BE"/>
    <w:rsid w:val="6732696D"/>
    <w:rsid w:val="67397F81"/>
    <w:rsid w:val="67451D63"/>
    <w:rsid w:val="678C30B6"/>
    <w:rsid w:val="67E26E3A"/>
    <w:rsid w:val="67E9034C"/>
    <w:rsid w:val="68332B3B"/>
    <w:rsid w:val="683F3018"/>
    <w:rsid w:val="684466E8"/>
    <w:rsid w:val="684568B6"/>
    <w:rsid w:val="685B3667"/>
    <w:rsid w:val="68BD0B09"/>
    <w:rsid w:val="68CD7763"/>
    <w:rsid w:val="68EF79ED"/>
    <w:rsid w:val="68F57855"/>
    <w:rsid w:val="69D07B34"/>
    <w:rsid w:val="69E14465"/>
    <w:rsid w:val="6A226A53"/>
    <w:rsid w:val="6A231718"/>
    <w:rsid w:val="6A310DD3"/>
    <w:rsid w:val="6A4F4329"/>
    <w:rsid w:val="6AAF66D6"/>
    <w:rsid w:val="6AC67BD3"/>
    <w:rsid w:val="6AF12B3E"/>
    <w:rsid w:val="6B264B6E"/>
    <w:rsid w:val="6BD924EC"/>
    <w:rsid w:val="6C826573"/>
    <w:rsid w:val="6C8919B8"/>
    <w:rsid w:val="6C9D1375"/>
    <w:rsid w:val="6CE76051"/>
    <w:rsid w:val="6DCF61FF"/>
    <w:rsid w:val="6DD469CF"/>
    <w:rsid w:val="6E3755C1"/>
    <w:rsid w:val="6E640DD3"/>
    <w:rsid w:val="6E64260C"/>
    <w:rsid w:val="6E914841"/>
    <w:rsid w:val="6EB1052D"/>
    <w:rsid w:val="6EC317CE"/>
    <w:rsid w:val="6F4E6508"/>
    <w:rsid w:val="6F4F2037"/>
    <w:rsid w:val="6FA608C2"/>
    <w:rsid w:val="701F7E35"/>
    <w:rsid w:val="704C3A50"/>
    <w:rsid w:val="70965651"/>
    <w:rsid w:val="70A14AF9"/>
    <w:rsid w:val="71576811"/>
    <w:rsid w:val="7165235D"/>
    <w:rsid w:val="716F460A"/>
    <w:rsid w:val="71BD016F"/>
    <w:rsid w:val="71CF0BED"/>
    <w:rsid w:val="71D66846"/>
    <w:rsid w:val="71E54E4B"/>
    <w:rsid w:val="71FC3BE3"/>
    <w:rsid w:val="723C3332"/>
    <w:rsid w:val="7252271D"/>
    <w:rsid w:val="726873F0"/>
    <w:rsid w:val="727B46BA"/>
    <w:rsid w:val="729D59B3"/>
    <w:rsid w:val="7313238C"/>
    <w:rsid w:val="731759FD"/>
    <w:rsid w:val="734164C7"/>
    <w:rsid w:val="735A62E0"/>
    <w:rsid w:val="74611F35"/>
    <w:rsid w:val="74645702"/>
    <w:rsid w:val="746E7275"/>
    <w:rsid w:val="74D80B53"/>
    <w:rsid w:val="751A7E63"/>
    <w:rsid w:val="75400B60"/>
    <w:rsid w:val="754A20F0"/>
    <w:rsid w:val="7558335C"/>
    <w:rsid w:val="756562E8"/>
    <w:rsid w:val="76406DC8"/>
    <w:rsid w:val="76AC6A44"/>
    <w:rsid w:val="76B040EE"/>
    <w:rsid w:val="76DB3663"/>
    <w:rsid w:val="778B6418"/>
    <w:rsid w:val="779A0D22"/>
    <w:rsid w:val="7872306D"/>
    <w:rsid w:val="78AB2481"/>
    <w:rsid w:val="78C863CB"/>
    <w:rsid w:val="792B6181"/>
    <w:rsid w:val="79F43DA8"/>
    <w:rsid w:val="7A3B2D26"/>
    <w:rsid w:val="7A404208"/>
    <w:rsid w:val="7A436452"/>
    <w:rsid w:val="7A6A3136"/>
    <w:rsid w:val="7A9439F5"/>
    <w:rsid w:val="7AFD1570"/>
    <w:rsid w:val="7B134572"/>
    <w:rsid w:val="7B4B064C"/>
    <w:rsid w:val="7B68696E"/>
    <w:rsid w:val="7B6E62FB"/>
    <w:rsid w:val="7C187EC4"/>
    <w:rsid w:val="7C3507CF"/>
    <w:rsid w:val="7CC7607D"/>
    <w:rsid w:val="7CDB5FF9"/>
    <w:rsid w:val="7CEC0651"/>
    <w:rsid w:val="7D4A7AE5"/>
    <w:rsid w:val="7D586692"/>
    <w:rsid w:val="7D810E5F"/>
    <w:rsid w:val="7D84768B"/>
    <w:rsid w:val="7DD86538"/>
    <w:rsid w:val="7E0D600E"/>
    <w:rsid w:val="7E2C0DEA"/>
    <w:rsid w:val="7E2D0B3F"/>
    <w:rsid w:val="7E341C7F"/>
    <w:rsid w:val="7E8B6D03"/>
    <w:rsid w:val="7FC2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7AB7"/>
      <w:u w:val="none"/>
    </w:rPr>
  </w:style>
  <w:style w:type="character" w:styleId="15">
    <w:name w:val="HTML Definition"/>
    <w:basedOn w:val="11"/>
    <w:semiHidden/>
    <w:unhideWhenUsed/>
    <w:qFormat/>
    <w:uiPriority w:val="99"/>
    <w:rPr>
      <w:i/>
    </w:rPr>
  </w:style>
  <w:style w:type="character" w:styleId="16">
    <w:name w:val="Hyperlink"/>
    <w:basedOn w:val="11"/>
    <w:semiHidden/>
    <w:unhideWhenUsed/>
    <w:qFormat/>
    <w:uiPriority w:val="99"/>
    <w:rPr>
      <w:color w:val="337AB7"/>
      <w:u w:val="none"/>
    </w:rPr>
  </w:style>
  <w:style w:type="character" w:styleId="17">
    <w:name w:val="HTML Code"/>
    <w:basedOn w:val="11"/>
    <w:semiHidden/>
    <w:unhideWhenUsed/>
    <w:qFormat/>
    <w:uiPriority w:val="99"/>
    <w:rPr>
      <w:rFonts w:ascii="Consolas" w:hAnsi="Consolas" w:eastAsia="Consolas" w:cs="Consolas"/>
      <w:color w:val="C7254E"/>
      <w:sz w:val="21"/>
      <w:szCs w:val="21"/>
      <w:shd w:val="clear" w:fill="F9F2F4"/>
    </w:rPr>
  </w:style>
  <w:style w:type="character" w:styleId="18">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19">
    <w:name w:val="HTML Sample"/>
    <w:basedOn w:val="11"/>
    <w:semiHidden/>
    <w:unhideWhenUsed/>
    <w:qFormat/>
    <w:uiPriority w:val="99"/>
    <w:rPr>
      <w:rFonts w:hint="default" w:ascii="Consolas" w:hAnsi="Consolas" w:eastAsia="Consolas" w:cs="Consolas"/>
      <w:sz w:val="21"/>
      <w:szCs w:val="21"/>
    </w:rPr>
  </w:style>
  <w:style w:type="paragraph" w:customStyle="1" w:styleId="20">
    <w:name w:val="批注文字 New New"/>
    <w:basedOn w:val="1"/>
    <w:qFormat/>
    <w:uiPriority w:val="0"/>
    <w:pPr>
      <w:jc w:val="left"/>
    </w:pPr>
    <w:rPr>
      <w:szCs w:val="20"/>
    </w:rPr>
  </w:style>
  <w:style w:type="character" w:customStyle="1" w:styleId="21">
    <w:name w:val="页眉 Char"/>
    <w:basedOn w:val="11"/>
    <w:link w:val="8"/>
    <w:semiHidden/>
    <w:qFormat/>
    <w:uiPriority w:val="99"/>
    <w:rPr>
      <w:rFonts w:ascii="Times New Roman" w:hAnsi="Times New Roman" w:eastAsia="宋体" w:cs="Times New Roman"/>
      <w:sz w:val="18"/>
      <w:szCs w:val="18"/>
    </w:rPr>
  </w:style>
  <w:style w:type="character" w:customStyle="1" w:styleId="22">
    <w:name w:val="页脚 Char"/>
    <w:basedOn w:val="11"/>
    <w:link w:val="7"/>
    <w:qFormat/>
    <w:uiPriority w:val="99"/>
    <w:rPr>
      <w:rFonts w:ascii="Times New Roman" w:hAnsi="Times New Roman" w:eastAsia="宋体" w:cs="Times New Roman"/>
      <w:sz w:val="18"/>
      <w:szCs w:val="18"/>
    </w:rPr>
  </w:style>
  <w:style w:type="paragraph" w:customStyle="1" w:styleId="2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ctspan"/>
    <w:basedOn w:val="11"/>
    <w:qFormat/>
    <w:uiPriority w:val="0"/>
  </w:style>
  <w:style w:type="character" w:customStyle="1" w:styleId="26">
    <w:name w:val="layui-layer-tabnow"/>
    <w:basedOn w:val="11"/>
    <w:qFormat/>
    <w:uiPriority w:val="0"/>
    <w:rPr>
      <w:bdr w:val="single" w:color="CCCCCC" w:sz="6" w:space="0"/>
      <w:shd w:val="clear" w:fill="FFFFFF"/>
    </w:rPr>
  </w:style>
  <w:style w:type="character" w:customStyle="1" w:styleId="27">
    <w:name w:val="first-child"/>
    <w:basedOn w:val="11"/>
    <w:qFormat/>
    <w:uiPriority w:val="0"/>
  </w:style>
  <w:style w:type="paragraph" w:customStyle="1" w:styleId="28">
    <w:name w:val="我的正文"/>
    <w:basedOn w:val="29"/>
    <w:qFormat/>
    <w:uiPriority w:val="0"/>
    <w:pPr>
      <w:spacing w:line="560" w:lineRule="exact"/>
      <w:ind w:firstLine="200" w:firstLineChars="200"/>
    </w:pPr>
    <w:rPr>
      <w:rFonts w:eastAsia="仿宋_GB2312"/>
      <w:sz w:val="32"/>
      <w:szCs w:val="32"/>
    </w:rPr>
  </w:style>
  <w:style w:type="paragraph" w:customStyle="1" w:styleId="29">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0">
    <w:name w:val="actspan2"/>
    <w:basedOn w:val="11"/>
    <w:qFormat/>
    <w:uiPriority w:val="0"/>
  </w:style>
  <w:style w:type="paragraph" w:customStyle="1" w:styleId="31">
    <w:name w:val="p0"/>
    <w:basedOn w:val="1"/>
    <w:qFormat/>
    <w:uiPriority w:val="0"/>
    <w:pPr>
      <w:widowControl/>
    </w:pPr>
    <w:rPr>
      <w:kern w:val="0"/>
      <w:szCs w:val="21"/>
    </w:rPr>
  </w:style>
  <w:style w:type="paragraph" w:customStyle="1" w:styleId="32">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3">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5">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36">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3722</Words>
  <Characters>4122</Characters>
  <Lines>27</Lines>
  <Paragraphs>7</Paragraphs>
  <TotalTime>40</TotalTime>
  <ScaleCrop>false</ScaleCrop>
  <LinksUpToDate>false</LinksUpToDate>
  <CharactersWithSpaces>4188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2022-09-29T15:55:00Z</cp:lastPrinted>
  <dcterms:modified xsi:type="dcterms:W3CDTF">2022-09-29T18:12:12Z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E68A3E06C5EE4AEB98BAD4DF240D96FA</vt:lpwstr>
  </property>
</Properties>
</file>